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xsi="http://www.w3.org/2001/XMLSchema-instance">
  <w:body>
    <w:p>
      <w:pPr>
        <w:spacing w:before="0" w:beforeLines="0" w:after="0" w:afterLines="0"/>
      </w:pPr>
      <w: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16D108A6" wp14:editId="351B37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0" b="0"/>
            <wp:wrapNone/>
            <wp:docPr id="1" name="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color w:val="EC671A"/>
          <w:b w:val="off"/>
          <w:u w:val="none"/>
        </w:rPr>
        <w:t>CaraTour FORD 600 MQ (2023)</w:t>
      </w:r>
    </w:p>
    <w:p>
      <w:pPr>
        <w:spacing w:before="80" w:beforeLines="0" w:after="0" w:afterLines="0"/>
      </w:pPr>
      <w:r>
        <w:rPr>
          <w:sz w:val="0"/>
        </w:rPr>
        <w:t>​</w:t>
      </w:r>
    </w:p>
    <w:tbl>
      <w:tblPr>
        <w:tblW w:w="5000" w:type="pct"/>
      </w:tblPr>
      <w:tr>
        <w:tc>
          <w:tcPr>
            <w:tcW w:type="pct" w:w="1600"/>
            <w:vMerge w:val="restart"/>
            <w:vAlign w:val="center"/>
          </w:tcPr>
          <w:p>
            <w:pPr>
              <w:spacing w:before="0" w:after="0"/>
              <w:jc w:val="left"/>
            </w:pPr>
            <w:r>
              <w:drawing>
                <wp:inline distT="0" distR="0" distB="0" distL="0">
                  <wp:extent cx="2268000" cy="925344"/>
                  <wp:docPr id="0" name="Drawing 0" descr="24017b7f83c897e3179a3fc4ea542d5369fced94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24017b7f83c897e3179a3fc4ea542d5369fced94.png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92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50"/>
            <w:vMerge w:val="restart"/>
          </w:tcPr>
          <w:p/>
        </w:tc>
        <w:tc>
          <w:tcPr>
            <w:tcW w:type="pct" w:w="100"/>
            <w:vMerge w:val="restart"/>
          </w:tcPr>
          <w:p>
            <w:pPr>
              <w:spacing w:beforeLines="0" w:after="0"/>
              <w:ind w:left="0" w:right="0"/>
              <w:jc w:val="left"/>
            </w:pPr>
            <w:r>
              <w:rPr>
                <w:sz w:val="24"/>
                <w:color w:val="000000"/>
                <w:b w:val="off"/>
                <w:u w:val="none"/>
              </w:rPr>
              <w:t xml:space="preserve"> </w:t>
            </w:r>
          </w:p>
        </w:tc>
        <w:tc>
          <w:tcPr>
            <w:tcW w:type="pct" w:w="1900"/>
            <w:hMerge w:val="restart"/>
            <w:shd w:color="auto" w:val="clear" w:fill="64666B"/>
          </w:tcPr>
          <w:p>
            <w:pPr>
              <w:spacing w:beforeLines="80" w:after="25"/>
              <w:ind w:left="150" w:right="0"/>
              <w:jc w:val="left"/>
            </w:pPr>
            <w:r>
              <w:rPr>
                <w:sz w:val="20"/>
                <w:color w:val="FFFFFF"/>
                <w:b w:val="off"/>
                <w:u w:val="none"/>
              </w:rPr>
              <w:t>VÉHICULE</w:t>
            </w:r>
          </w:p>
        </w:tc>
        <w:tc>
          <w:tcPr>
            <w:hMerge w:val="continue"/>
          </w:tcPr>
          <w:p/>
        </w:tc>
        <w:tc>
          <w:tcPr>
            <w:tcW w:type="pct" w:w="900"/>
            <w:vMerge w:val="restart"/>
            <w:shd w:color="auto" w:val="clear" w:fill="64666B"/>
            <w:vAlign w:val="center"/>
          </w:tcPr>
          <w:p>
            <w:pPr>
              <w:spacing w:before="0" w:beforeLines="0" w:after="0" w:afterLines="0"/>
              <w:jc w:val="center"/>
            </w:pPr>
            <w:r>
              <w:drawing>
                <wp:inline distT="0" distR="0" distB="0" distL="0">
                  <wp:extent cx="960120" cy="960120"/>
                  <wp:docPr id="1" name="Drawing 1" descr="generatedQrCode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QrCode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type="pct" w:w="10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Chassis</w:t>
            </w:r>
          </w:p>
        </w:tc>
        <w:tc>
          <w:tcPr>
            <w:tcW w:type="pct" w:w="9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type="pct" w:w="10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Motor</w:t>
            </w:r>
          </w:p>
        </w:tc>
        <w:tc>
          <w:tcPr>
            <w:tcW w:type="pct" w:w="9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type="pct" w:w="10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Boîte de vitesses</w:t>
            </w:r>
          </w:p>
        </w:tc>
        <w:tc>
          <w:tcPr>
            <w:tcW w:type="pct" w:w="900"/>
            <w:shd w:color="auto" w:val="clear" w:fill="64666B"/>
          </w:tcPr>
          <w:p>
            <w:pPr>
              <w:spacing w:beforeLines="25" w:after="25"/>
              <w:ind w:left="150" w:right="0"/>
              <w:jc w:val="left"/>
            </w:pPr>
            <w:r>
              <w:rPr>
                <w:sz w:val="18"/>
                <w:color w:val="FFFFFF"/>
                <w:b w:val="off"/>
                <w:u w:val="none"/>
              </w:rPr>
              <w:t>autom.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type="pct" w:w="1000"/>
            <w:shd w:color="auto" w:val="clear" w:fill="64666B"/>
          </w:tcPr>
          <w:p/>
        </w:tc>
        <w:tc>
          <w:tcPr>
            <w:tcW w:type="pct" w:w="900"/>
            <w:shd w:color="auto" w:val="clear" w:fill="64666B"/>
          </w:tcPr>
          <w:p/>
        </w:tc>
        <w:tc>
          <w:tcPr>
            <w:vMerge w:val="continue"/>
          </w:tcPr>
          <w:p/>
        </w:tc>
      </w:tr>
    </w:tbl>
    <w:p>
      <w:pPr>
        <w:spacing w:before="80" w:beforeLines="0" w:after="0" w:afterLines="0"/>
      </w:pPr>
      <w:r>
        <w:rPr>
          <w:sz w:val="0"/>
        </w:rPr>
        <w:t>​</w:t>
      </w:r>
    </w:p>
    <w:tbl>
      <w:tblPr>
        <w:tblW w:w="5000" w:type="pct"/>
      </w:tblPr>
      <w:tr>
        <w:tc>
          <w:tcPr>
            <w:tcW w:type="dxa" w:w="2318"/>
          </w:tcPr>
          <w:p>
            <w:pPr>
              <w:spacing w:before="0" w:beforeLines="0" w:after="0" w:afterLines="0"/>
              <w:jc w:val="left"/>
              <w:textAlignment w:val="center"/>
            </w:pPr>
            <w:r>
              <w:drawing>
                <wp:inline distT="0" distR="0" distB="0" distL="0">
                  <wp:extent cx="302400" cy="302400"/>
                  <wp:docPr id="2" name="Drawing 2" descr="weinsberg-schlafplaetz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insberg-schlafplaetze.png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color w:val="000000"/>
                <w:b w:val="off"/>
                <w:u w:val="none"/>
              </w:rPr>
              <w:t xml:space="preserve">  3 Place couchage</w:t>
            </w:r>
          </w:p>
        </w:tc>
        <w:tc>
          <w:tcPr>
            <w:tcW w:type="dxa" w:w="3277"/>
          </w:tcPr>
          <w:p>
            <w:pPr>
              <w:spacing w:before="0" w:beforeLines="0" w:after="0" w:afterLines="0"/>
              <w:jc w:val="center"/>
              <w:textAlignment w:val="center"/>
            </w:pPr>
            <w:r>
              <w:drawing>
                <wp:inline distT="0" distR="0" distB="0" distL="0">
                  <wp:extent cx="302400" cy="302400"/>
                  <wp:docPr id="3" name="Drawing 3" descr="weinsberg-gurtplaetz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insberg-gurtplaetze.png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color w:val="000000"/>
                <w:b w:val="off"/>
                <w:u w:val="none"/>
              </w:rPr>
              <w:t xml:space="preserve">  4 Sièges avec ceintures de séc.</w:t>
            </w:r>
          </w:p>
        </w:tc>
        <w:tc>
          <w:tcPr>
            <w:tcW w:type="dxa" w:w="2381"/>
          </w:tcPr>
          <w:p>
            <w:pPr>
              <w:spacing w:before="0" w:beforeLines="0" w:after="0" w:afterLines="0"/>
              <w:jc w:val="center"/>
              <w:textAlignment w:val="center"/>
            </w:pPr>
            <w:r>
              <w:drawing>
                <wp:inline distT="0" distR="0" distB="0" distL="0">
                  <wp:extent cx="302400" cy="302400"/>
                  <wp:docPr id="4" name="Drawing 4" descr="weinsberg-breit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einsberg-breite.png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color w:val="000000"/>
                <w:b w:val="off"/>
                <w:u w:val="none"/>
              </w:rPr>
              <w:t xml:space="preserve">  moins de 6 mètres</w:t>
            </w:r>
          </w:p>
        </w:tc>
        <w:tc>
          <w:tcPr>
            <w:tcW w:type="dxa" w:w="2381"/>
          </w:tcPr>
          <w:p>
            <w:pPr>
              <w:spacing w:before="0" w:beforeLines="0" w:after="0" w:afterLines="0"/>
              <w:jc w:val="right"/>
              <w:textAlignment w:val="center"/>
            </w:pPr>
            <w:r>
              <w:drawing>
                <wp:inline distT="0" distR="0" distB="0" distL="0">
                  <wp:extent cx="302400" cy="302400"/>
                  <wp:docPr id="5" name="Drawing 5" descr="weinsberg-gewicht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insberg-gewicht.png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color w:val="000000"/>
                <w:b w:val="off"/>
                <w:u w:val="none"/>
              </w:rPr>
              <w:t xml:space="preserve">  moins de 3.500 kg</w:t>
            </w:r>
          </w:p>
        </w:tc>
      </w:tr>
    </w:tbl>
    <w:p>
      <w:pPr>
        <w:spacing w:before="80" w:beforeLines="0" w:after="0" w:afterLines="0"/>
      </w:pPr>
      <w:r>
        <w:rPr>
          <w:sz w:val="0"/>
        </w:rPr>
        <w:t>​</w:t>
      </w:r>
    </w:p>
    <w:tbl>
      <w:tblPr>
        <w:tblW w:w="5000" w:type="pct"/>
        <w:tblLayout w:type="fixed"/>
        <w:tblCellMar/>
      </w:tblPr>
      <w:tr>
        <w:tc>
          <w:tcPr>
            <w:shd w:color="auto" w:val="clear" w:fill="64666B"/>
          </w:tcPr>
          <w:p>
            <w:pPr>
              <w:spacing w:beforeLines="2" w:afterLines="10"/>
              <w:ind w:left="50" w:right="50"/>
              <w:jc w:val="left"/>
            </w:pPr>
            <w:r>
              <w:rPr>
                <w:sz w:val="24"/>
                <w:b w:val="on"/>
                <w:color w:val="FFFFFF"/>
              </w:rPr>
              <w:t>Données techniques</w:t>
            </w:r>
          </w:p>
        </w:tc>
        <w:tc>
          <w:tcPr>
            <w:shd w:color="auto" w:val="clear" w:fill="64666B"/>
          </w:tcPr>
          <w:p>
            <w:pPr>
              <w:spacing w:beforeLines="2" w:afterLines="10"/>
              <w:ind w:left="50" w:right="50"/>
              <w:jc w:val="right"/>
            </w:pPr>
            <w:r>
              <w:rPr>
                <w:sz w:val="24"/>
                <w:b w:val="on"/>
                <w:color w:val="FFFFFF"/>
              </w:rPr>
              <w:t xsi:nil="true"/>
            </w:r>
          </w:p>
        </w:tc>
      </w:tr>
    </w:tbl>
    <w:tbl>
      <w:tblPr>
        <w:tblW w:w="0" w:type="auto"/>
      </w:tblPr>
      <w:tr>
        <w:tc>
          <w:tcPr>
            <w:tcW w:type="pct" w:w="2500"/>
          </w:tcPr>
          <w:tbl>
            <w:tblPr>
              <w:tblW w:w="4950" w:type="pct"/>
              <w:jc w:val="start"/>
              <w:tblBorders>
                <w:top w:val="none" w:sz="1" w:space="0" w:color=""/>
                <w:left w:val="none" w:sz="1" w:space="0" w:color=""/>
                <w:bottom w:val="none" w:sz="1" w:space="0" w:color=""/>
                <w:right w:val="none" w:sz="1" w:space="0" w:color=""/>
                <w:insideH w:val="none" w:sz="1" w:space="0" w:color=""/>
                <w:insideV w:val="none" w:sz="1" w:space="0" w:color=""/>
              </w:tblBorders>
              <w:tblCellMar/>
            </w:tblP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Dimensions: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Largeur extérieur/intérieur (cm)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206 / 187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Hauteur extérieur/intérieur (cm)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274 / 205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Dimensions du lit d'appoint dînette (cm)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156 x 70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Dimensions des lits - arrière (cm)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193 x 147/138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Dimensions du lit d'invité, en option (cm)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164 x 100/62</w:t>
                  </w:r>
                </w:p>
              </w:tc>
            </w:tr>
          </w:tbl>
          <w:p/>
        </w:tc>
        <w:tc>
          <w:tcPr>
            <w:tcW w:type="pct" w:w="2500"/>
          </w:tcPr>
          <w:tbl>
            <w:tblPr>
              <w:tblW w:w="4950" w:type="pct"/>
              <w:jc w:val="end"/>
              <w:tblBorders>
                <w:top w:val="none" w:sz="1" w:space="0" w:color=""/>
                <w:left w:val="none" w:sz="1" w:space="0" w:color=""/>
                <w:bottom w:val="none" w:sz="1" w:space="0" w:color=""/>
                <w:right w:val="none" w:sz="1" w:space="0" w:color=""/>
                <w:insideH w:val="none" w:sz="1" w:space="0" w:color=""/>
                <w:insideV w:val="none" w:sz="1" w:space="0" w:color=""/>
              </w:tblBorders>
              <w:tblCellMar/>
            </w:tblP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Poids: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Poids total techniquement autorisé (kg)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3.500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Poids en ordre de marche (kg)</w:t>
                  </w:r>
                </w:p>
              </w:tc>
              <w:tc>
                <w:tcPr>
                  <w:tcW w:w="6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2.855 (2.712 - 2.997)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3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Masse restante de l'équipement optionnel (kg)</w:t>
                  </w:r>
                </w:p>
              </w:tc>
              <w:tc>
                <w:tcPr>
                  <w:tcW w:w="6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243</w:t>
                  </w:r>
                </w:p>
              </w:tc>
            </w:tr>
          </w:tbl>
          <w:p/>
        </w:tc>
      </w:tr>
    </w:tbl>
    <w:p>
      <w:pPr>
        <w:spacing w:before="80" w:beforeLines="0" w:after="0" w:afterLines="0"/>
      </w:pPr>
      <w:r>
        <w:rPr>
          <w:sz w:val="0"/>
        </w:rPr>
        <w:t>​</w:t>
      </w:r>
    </w:p>
    <w:tbl>
      <w:tblPr>
        <w:tblW w:w="5000" w:type="pct"/>
        <w:tblLayout w:type="fixed"/>
        <w:tblCellMar/>
      </w:tblPr>
      <w:tr>
        <w:tc>
          <w:tcPr>
            <w:shd w:color="auto" w:val="clear" w:fill="64666B"/>
          </w:tcPr>
          <w:p>
            <w:pPr>
              <w:spacing w:beforeLines="2" w:afterLines="10"/>
              <w:ind w:left="50" w:right="50"/>
              <w:jc w:val="left"/>
            </w:pPr>
            <w:r>
              <w:rPr>
                <w:sz w:val="24"/>
                <w:b w:val="on"/>
                <w:color w:val="FFFFFF"/>
              </w:rPr>
              <w:t>Equipement spécial</w:t>
            </w:r>
          </w:p>
        </w:tc>
        <w:tc>
          <w:tcPr>
            <w:shd w:color="auto" w:val="clear" w:fill="64666B"/>
          </w:tcPr>
          <w:p>
            <w:pPr>
              <w:spacing w:beforeLines="2" w:afterLines="10"/>
              <w:ind w:left="50" w:right="50"/>
              <w:jc w:val="right"/>
            </w:pPr>
            <w:r>
              <w:rPr>
                <w:sz w:val="24"/>
                <w:b w:val="on"/>
                <w:color w:val="FFFFFF"/>
              </w:rPr>
              <w:t>9.483 €</w:t>
            </w:r>
          </w:p>
        </w:tc>
      </w:tr>
    </w:tbl>
    <w:tbl>
      <w:tblPr>
        <w:tblW w:w="0" w:type="auto"/>
      </w:tblPr>
      <w:tr>
        <w:tc>
          <w:tcPr>
            <w:tcW w:type="pct" w:w="2500"/>
          </w:tcPr>
          <w:tbl>
            <w:tblPr>
              <w:tblW w:w="4950" w:type="pct"/>
              <w:jc w:val="start"/>
              <w:tblBorders>
                <w:top w:val="none" w:sz="1" w:space="0" w:color=""/>
                <w:left w:val="none" w:sz="1" w:space="0" w:color=""/>
                <w:bottom w:val="none" w:sz="1" w:space="0" w:color=""/>
                <w:right w:val="none" w:sz="1" w:space="0" w:color=""/>
                <w:insideH w:val="none" w:sz="1" w:space="0" w:color=""/>
                <w:insideV w:val="none" w:sz="1" w:space="0" w:color=""/>
              </w:tblBorders>
              <w:tblCellMar/>
            </w:tblPr>
            <w:tr>
              <w:trPr>
                <w:trHeight w:hRule="auto"/>
              </w:trPr>
              <w:tc>
                <w:tcPr>
                  <w:tcW w:w="1440" w:type="dxa"/>
                  <w:shd w:color="auto" w:val="clear" w:fill=""/>
                </w:tcPr>
                <w:p>
                  <w:pPr>
                    <w:spacing w:before="25" w:after="25" w:beforeLines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Motorisation / Transmission / Boite de vitesses / Augmentation de charge</w:t>
                  </w:r>
                </w:p>
              </w:tc>
              <w:tc>
                <w:tcPr>
                  <w:tcW w:w="560" w:type="dxa"/>
                  <w:shd w:color="auto" w:val="clear" w:fill=""/>
                </w:tcPr>
                <w:p>
                  <w:pPr>
                    <w:spacing w:before="25" w:after="25" w:beforeLines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FORD TRANSIT 3 500 kg*** ; L3 TA 2,0 L EcoBlue Light Duty ; 170 cv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1.503 €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Boîte automatique à 6 rapports</w:t>
                  </w:r>
                </w:p>
              </w:tc>
              <w:tc>
                <w:tcPr>
                  <w:tcW w:w="5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2.279 €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Châssis / Mécanisme de roulement / Augmentation du PTAC du véhicule </w:t>
                  </w:r>
                </w:p>
              </w:tc>
              <w:tc>
                <w:tcPr>
                  <w:tcW w:w="56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Châssis en peinture métalisée : Gris magnétic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1.236 €</w:t>
                  </w:r>
                </w:p>
              </w:tc>
            </w:tr>
          </w:tbl>
          <w:p/>
        </w:tc>
        <w:tc>
          <w:tcPr>
            <w:tcW w:type="pct" w:w="2500"/>
          </w:tcPr>
          <w:tbl>
            <w:tblPr>
              <w:tblW w:w="4950" w:type="pct"/>
              <w:jc w:val="end"/>
              <w:tblBorders>
                <w:top w:val="none" w:sz="1" w:space="0" w:color=""/>
                <w:left w:val="none" w:sz="1" w:space="0" w:color=""/>
                <w:bottom w:val="none" w:sz="1" w:space="0" w:color=""/>
                <w:right w:val="none" w:sz="1" w:space="0" w:color=""/>
                <w:insideH w:val="none" w:sz="1" w:space="0" w:color=""/>
                <w:insideV w:val="none" w:sz="1" w:space="0" w:color=""/>
              </w:tblBorders>
              <w:tblCellMar/>
            </w:tblP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FORD Jantes alu avec pneumatiques de série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 w:beforeLines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1.603 €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Système de contrôle de la pression des pneus TPMS</w:t>
                  </w:r>
                </w:p>
              </w:tc>
              <w:tc>
                <w:tcPr>
                  <w:tcW w:w="5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120 €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Packs</w:t>
                  </w:r>
                </w:p>
              </w:tc>
              <w:tc>
                <w:tcPr>
                  <w:tcW w:w="56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Pack aide au stationnement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797 €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Pack Voltage</w:t>
                  </w:r>
                </w:p>
              </w:tc>
              <w:tc>
                <w:tcPr>
                  <w:tcW w:w="560" w:type="dxa"/>
                  <w:shd w:color="auto" w:val="clear" w:fill="FFFFFF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661 €</w:t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n"/>
                      <w:color w:val="64666B"/>
                    </w:rPr>
                    <w:t>Stores extérieurs / Accessoires pour stores</w:t>
                  </w:r>
                </w:p>
              </w:tc>
              <w:tc>
                <w:tcPr>
                  <w:tcW w:w="560" w:type="dxa"/>
                  <w:shd w:color="auto" w:val="clear" w:fill="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n"/>
                      <w:color w:val="64666B"/>
                    </w:rPr>
                    <w:t/>
                  </w:r>
                </w:p>
              </w:tc>
            </w:tr>
            <w:tr>
              <w:trPr>
                <w:trHeight w:hRule="auto"/>
              </w:trPr>
              <w:tc>
                <w:tcPr>
                  <w:tcW w:w="144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</w:pPr>
                  <w:r>
                    <w:rPr>
                      <w:sz w:val="20"/>
                      <w:b w:val="off"/>
                      <w:color w:val="64666B"/>
                    </w:rPr>
                    <w:t>Store 350 x 250 cm anthracite</w:t>
                  </w:r>
                </w:p>
              </w:tc>
              <w:tc>
                <w:tcPr>
                  <w:tcW w:w="560" w:type="dxa"/>
                  <w:shd w:color="auto" w:val="clear" w:fill="F1F1F2"/>
                </w:tcPr>
                <w:p>
                  <w:pPr>
                    <w:spacing w:before="25" w:after="25"/>
                    <w:ind w:left="45" w:right="45"/>
                    <w:jc w:val="end"/>
                  </w:pPr>
                  <w:r>
                    <w:rPr>
                      <w:sz w:val="20"/>
                      <w:b w:val="off"/>
                      <w:color w:val="64666B"/>
                    </w:rPr>
                    <w:t>1.284 €</w:t>
                  </w:r>
                </w:p>
              </w:tc>
            </w:tr>
          </w:tbl>
          <w:p/>
        </w:tc>
      </w:tr>
    </w:tbl>
    <w:p>
      <w:pPr>
        <w:spacing w:before="80" w:beforeLines="0" w:after="0" w:afterLines="0"/>
      </w:pPr>
      <w:r>
        <w:rPr>
          <w:sz w:val="0"/>
        </w:rPr>
        <w:t>​</w:t>
      </w:r>
    </w:p>
    <w:p>
      <w:pPr>
        <w:spacing w:before="80" w:beforeLines="0" w:after="0" w:afterLines="0"/>
      </w:pPr>
      <w:r>
        <w:rPr>
          <w:sz w:val="0"/>
        </w:rPr>
        <w:t>​</w:t>
      </w:r>
    </w:p>
    <w:p>
      <w:pPr>
        <w:spacing w:before="80" w:beforeLines="0" w:after="0" w:afterLines="0"/>
      </w:pPr>
      <w:r>
        <w:rPr>
          <w:sz w:val="0"/>
        </w:rPr>
        <w:t>​</w:t>
      </w:r>
    </w:p>
    <w:sectPr>
      <w:footerReference w:type="first" r:id="rId10"/>
      <w:pgSz w:orient="portrait" w:w="11900" w:h="16840"/>
      <w:pgMar w:top="611" w:right="971" w:left="550" w:bottom="0" w:header="0" w:footer="0"/>
      <w:titlePg w:val="on"/>
    </w:sectPr>
  </w:body>
</w:document>
</file>

<file path=word/footer1.xml><?xml version="1.0" encoding="utf-8"?>
<w:ftr xmlns:w="http://schemas.openxmlformats.org/wordprocessingml/2006/main">
  <w:tbl>
    <w:tblPr>
      <w:tblW w:w="5000" w:type="pct"/>
    </w:tblPr>
    <w:tr>
      <w:tc>
        <w:tcPr>
          <w:tcW w:type="pct" w:w="2475"/>
          <w:hMerge w:val="restart"/>
          <w:vMerge w:val="restart"/>
          <w:shd w:color="auto" w:val="clear" w:fill="64666B"/>
        </w:tcPr>
        <w:p/>
      </w:tc>
      <w:tc>
        <w:tcPr>
          <w:hMerge w:val="continue"/>
          <w:vMerge w:val="restart"/>
        </w:tcPr>
        <w:p/>
      </w:tc>
      <w:tc>
        <w:tcPr>
          <w:tcW w:type="pct" w:w="55"/>
          <w:vMerge w:val="restart"/>
        </w:tcPr>
        <w:p/>
      </w:tc>
      <w:tc>
        <w:tcPr>
          <w:tcW w:type="pct" w:w="1730"/>
          <w:shd w:color="auto" w:val="clear" w:fill="EC671A"/>
        </w:tcPr>
        <w:p>
          <w:pPr>
            <w:spacing w:beforeLines="20" w:after="20"/>
            <w:ind w:left="60" w:right="0"/>
            <w:jc w:val="left"/>
          </w:pPr>
          <w:r>
            <w:rPr>
              <w:sz w:val="18"/>
              <w:color w:val="FFFFFF"/>
              <w:b w:val="off"/>
              <w:u w:val="none"/>
            </w:rPr>
            <w:t>Prix de base véhicule de base</w:t>
          </w:r>
        </w:p>
      </w:tc>
      <w:tc>
        <w:tcPr>
          <w:tcW w:type="pct" w:w="740"/>
          <w:shd w:color="auto" w:val="clear" w:fill="EC671A"/>
        </w:tcPr>
        <w:p>
          <w:pPr>
            <w:spacing w:beforeLines="20" w:after="20"/>
            <w:ind w:left="0" w:right="60"/>
            <w:jc w:val="end"/>
          </w:pPr>
          <w:r>
            <w:rPr>
              <w:sz w:val="18"/>
              <w:color w:val="FFFFFF"/>
              <w:b w:val="off"/>
              <w:u w:val="none"/>
            </w:rPr>
            <w:t>59.132 €</w:t>
          </w:r>
        </w:p>
      </w:tc>
    </w:tr>
    <w:tr>
      <w:tc>
        <w:tcPr>
          <w:hMerge w:val="restart"/>
          <w:vMerge w:val="continue"/>
        </w:tcPr>
        <w:p/>
      </w:tc>
      <w:tc>
        <w:tcPr>
          <w:hMerge w:val="continue"/>
          <w:vMerge w:val="continue"/>
        </w:tcPr>
        <w:p/>
      </w:tc>
      <w:tc>
        <w:tcPr>
          <w:vMerge w:val="continue"/>
        </w:tcPr>
        <w:p/>
      </w:tc>
      <w:tc>
        <w:tcPr>
          <w:tcW w:type="pct" w:w="1730"/>
          <w:shd w:color="auto" w:val="clear" w:fill="EC671A"/>
        </w:tcPr>
        <w:p>
          <w:pPr>
            <w:spacing w:beforeLines="20" w:after="20"/>
            <w:ind w:left="60" w:right="0"/>
            <w:jc w:val="left"/>
          </w:pPr>
          <w:r>
            <w:rPr>
              <w:sz w:val="18"/>
              <w:color w:val="FFFFFF"/>
              <w:b w:val="off"/>
              <w:u w:val="none"/>
            </w:rPr>
            <w:t>Equipement spécial</w:t>
          </w:r>
        </w:p>
      </w:tc>
      <w:tc>
        <w:tcPr>
          <w:tcW w:type="pct" w:w="740"/>
          <w:shd w:color="auto" w:val="clear" w:fill="EC671A"/>
        </w:tcPr>
        <w:p>
          <w:pPr>
            <w:spacing w:beforeLines="20" w:after="40"/>
            <w:ind w:left="0" w:right="60"/>
            <w:jc w:val="end"/>
          </w:pPr>
          <w:r>
            <w:rPr>
              <w:sz w:val="18"/>
              <w:color w:val="FFFFFF"/>
              <w:b w:val="off"/>
              <w:u w:val="none"/>
            </w:rPr>
            <w:t>9.483 €</w:t>
          </w:r>
        </w:p>
      </w:tc>
    </w:tr>
    <w:tr>
      <w:tc>
        <w:tcPr>
          <w:tcW w:type="pct" w:w="1730"/>
          <w:shd w:color="auto" w:val="clear" w:fill="64666B"/>
          <w:vAlign w:val="center"/>
        </w:tcPr>
        <w:p>
          <w:pPr>
            <w:spacing w:beforeLines="20" w:after="60"/>
            <w:ind w:left="60" w:right="0"/>
            <w:jc w:val="left"/>
          </w:pPr>
          <w:r>
            <w:rPr>
              <w:sz w:val="28"/>
              <w:color w:val="FFFFFF"/>
              <w:b w:val="on"/>
              <w:u w:val="none"/>
            </w:rPr>
            <w:t>Prix de base véhicule de base</w:t>
          </w:r>
        </w:p>
      </w:tc>
      <w:tc>
        <w:tcPr>
          <w:tcW w:type="pct" w:w="740"/>
          <w:shd w:color="auto" w:val="clear" w:fill="64666B"/>
          <w:vAlign w:val="center"/>
        </w:tcPr>
        <w:p>
          <w:pPr>
            <w:spacing w:beforeLines="20" w:after="60"/>
            <w:ind w:left="0" w:right="60"/>
            <w:jc w:val="end"/>
          </w:pPr>
          <w:r>
            <w:rPr>
              <w:sz w:val="28"/>
              <w:color w:val="FFFFFF"/>
              <w:b w:val="on"/>
              <w:u w:val="none"/>
            </w:rPr>
            <w:t>59.132 €</w:t>
          </w:r>
        </w:p>
      </w:tc>
      <w:tc>
        <w:tcPr>
          <w:vMerge w:val="continue"/>
        </w:tcPr>
        <w:p/>
      </w:tc>
      <w:tc>
        <w:tcPr>
          <w:tcW w:type="pct" w:w="1730"/>
          <w:tcBorders>
            <w:top w:val="single" w:sz="15" w:color="FFFFFF"/>
          </w:tcBorders>
          <w:shd w:color="auto" w:val="clear" w:fill="EC671A"/>
          <w:vAlign w:val="center"/>
        </w:tcPr>
        <w:p>
          <w:pPr>
            <w:spacing w:beforeLines="0" w:after="60"/>
            <w:ind w:left="60" w:right="0"/>
            <w:jc w:val="left"/>
          </w:pPr>
          <w:r>
            <w:rPr>
              <w:sz w:val="28"/>
              <w:color w:val="FFFFFF"/>
              <w:b w:val="on"/>
              <w:u w:val="none"/>
            </w:rPr>
            <w:t>Véhicule d'exposition</w:t>
          </w:r>
        </w:p>
      </w:tc>
      <w:tc>
        <w:tcPr>
          <w:tcW w:type="pct" w:w="740"/>
          <w:tcBorders>
            <w:top w:val="single" w:sz="15" w:color="FFFFFF"/>
          </w:tcBorders>
          <w:shd w:color="auto" w:val="clear" w:fill="EC671A"/>
          <w:vAlign w:val="center"/>
        </w:tcPr>
        <w:p>
          <w:pPr>
            <w:spacing w:beforeLines="0" w:after="60"/>
            <w:ind w:left="0" w:right="60"/>
            <w:jc w:val="end"/>
          </w:pPr>
          <w:r>
            <w:rPr>
              <w:sz w:val="28"/>
              <w:color w:val="FFFFFF"/>
              <w:b w:val="on"/>
              <w:u w:val="none"/>
            </w:rPr>
            <w:t>68.615 €</w:t>
          </w:r>
        </w:p>
      </w:tc>
    </w:tr>
    <w:tr>
      <w:tc>
        <w:tcPr>
          <w:tcW w:type="pct" w:w="2475"/>
          <w:hMerge w:val="restart"/>
          <w:vAlign w:val="bottom"/>
        </w:tcPr>
        <w:p>
          <w:pPr>
            <w:spacing w:beforeLines="10" w:after="10"/>
            <w:ind w:left="60" w:right="0"/>
            <w:jc w:val="left"/>
          </w:pPr>
          <w:r>
            <w:rPr>
              <w:sz w:val="16"/>
              <w:color w:val="64666B"/>
              <w:b w:val="off"/>
              <w:u w:val="none"/>
            </w:rPr>
            <w:t>Visit WEINSBERG here:</w:t>
          </w:r>
        </w:p>
      </w:tc>
      <w:tc>
        <w:tcPr>
          <w:hMerge w:val="continue"/>
        </w:tcPr>
        <w:p/>
      </w:tc>
      <w:tc>
        <w:tcPr>
          <w:vMerge w:val="continue"/>
        </w:tcPr>
        <w:p/>
      </w:tc>
      <w:tc>
        <w:tcPr>
          <w:tcW w:type="pct" w:w="2475"/>
          <w:hMerge w:val="restart"/>
        </w:tcPr>
        <w:p>
          <w:pPr>
            <w:spacing w:beforeLines="10" w:after="10"/>
            <w:ind w:left="0" w:right="60"/>
            <w:jc w:val="end"/>
          </w:pPr>
          <w:r>
            <w:rPr>
              <w:sz w:val="16"/>
              <w:color w:val="64666B"/>
              <w:b w:val="off"/>
              <w:u w:val="none"/>
            </w:rPr>
            <w:t>incl. 20% TVA.</w:t>
          </w:r>
        </w:p>
      </w:tc>
      <w:tc>
        <w:tcPr>
          <w:hMerge w:val="continue"/>
        </w:tcPr>
        <w:p/>
      </w:tc>
    </w:tr>
    <w:tr>
      <w:tc>
        <w:tcPr>
          <w:tcW w:type="pct" w:w="2475"/>
          <w:hMerge w:val="restart"/>
        </w:tcPr>
        <w:p>
          <w:pPr>
            <w:spacing w:beforeLines="10" w:after="400"/>
            <w:ind w:left="60" w:right="0"/>
            <w:jc w:val="left"/>
          </w:pPr>
          <w:r>
            <w:rPr>
              <w:sz w:val="16"/>
              <w:color w:val="64666B"/>
              <w:b w:val="on"/>
              <w:u w:val="none"/>
            </w:rPr>
            <w:t>https://weinsberg.com/fr-fr</w:t>
          </w:r>
        </w:p>
      </w:tc>
      <w:tc>
        <w:tcPr>
          <w:hMerge w:val="continue"/>
        </w:tcPr>
        <w:p/>
      </w:tc>
      <w:tc>
        <w:tcPr>
          <w:vMerge w:val="continue"/>
        </w:tcPr>
        <w:p/>
      </w:tc>
      <w:tc>
        <w:tcPr>
          <w:tcW w:type="pct" w:w="2475"/>
          <w:hMerge w:val="restart"/>
        </w:tcPr>
        <w:p>
          <w:pPr>
            <w:spacing w:beforeLines="10" w:after="400"/>
            <w:ind w:left="0" w:right="60"/>
            <w:jc w:val="end"/>
          </w:pPr>
          <w:r>
            <w:rPr>
              <w:sz w:val="16"/>
              <w:color w:val="64666B"/>
              <w:b w:val="off"/>
              <w:u w:val="none"/>
            </w:rPr>
            <w:t>Sous réserve de modifications et d'erreurs.</w:t>
          </w:r>
        </w:p>
      </w:tc>
      <w:tc>
        <w:tcPr>
          <w:hMerge w:val="continue"/>
        </w:tcPr>
        <w:p/>
      </w:tc>
    </w:tr>
  </w:tbl>
</w:ft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="Arial" w:eastAsia="Arial" w:hAnsi="Arial"/>
      </w:rPr>
    </w:rPrDefault>
    <w:pPrDefault>
      <w:pPr/>
    </w:pPrDefault>
  </w:docDefaults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footer1.xml" Type="http://schemas.openxmlformats.org/officeDocument/2006/relationships/footer"/><Relationship Id="rId2" Target="styles.xml" Type="http://schemas.openxmlformats.org/officeDocument/2006/relationships/styles"/><Relationship Id="rId3" Target="media/image1.png" Type="http://schemas.openxmlformats.org/officeDocument/2006/relationships/image"/><Relationship Id="rId4" Target="media/image2.png" Type="http://schemas.openxmlformats.org/officeDocument/2006/relationships/image"/><Relationship Id="rId5" Target="media/image3.png" Type="http://schemas.openxmlformats.org/officeDocument/2006/relationships/image"/><Relationship Id="rId6" Target="media/image4.png" Type="http://schemas.openxmlformats.org/officeDocument/2006/relationships/image"/><Relationship Id="rId7" Target="media/image5.png" Type="http://schemas.openxmlformats.org/officeDocument/2006/relationships/image"/><Relationship Id="rId8" Target="media/image6.png" Type="http://schemas.openxmlformats.org/officeDocument/2006/relationships/image"/><Relationship Id="rId9" Target="media/image7.pn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2023-03-31T15:06:48Z</dcterms:created>
  <dc:creator>Apache POI</dc:creator>
</cp:coreProperties>
</file>