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xsi="http://www.w3.org/2001/XMLSchema-instance">
  <w:body>
    <w:p>
      <w:pPr>
        <w:spacing w:before="0" w:beforeLines="0" w:after="0" w:afterLines="0"/>
      </w:pPr>
      <w: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16D108A6" wp14:editId="351B374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1" name="Gra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2"/>
          <w:color w:val="EC671A"/>
          <w:b w:val="off"/>
          <w:u w:val="none"/>
        </w:rPr>
        <w:t>CaraTour FORD 600 MQ (2023)</w:t>
      </w:r>
    </w:p>
    <w:p>
      <w:pPr>
        <w:spacing w:before="80" w:beforeLines="0" w:after="0" w:afterLines="0"/>
      </w:pPr>
      <w:r>
        <w:rPr>
          <w:sz w:val="0"/>
        </w:rPr>
        <w:t>​</w:t>
      </w:r>
    </w:p>
    <w:tbl>
      <w:tblPr>
        <w:tblW w:w="5000" w:type="pct"/>
      </w:tblPr>
      <w:tr>
        <w:tc>
          <w:tcPr>
            <w:tcW w:type="pct" w:w="1600"/>
            <w:vMerge w:val="restart"/>
            <w:vAlign w:val="center"/>
          </w:tcPr>
          <w:p>
            <w:pPr>
              <w:spacing w:before="0" w:after="0"/>
              <w:jc w:val="left"/>
            </w:pPr>
            <w:r>
              <w:drawing>
                <wp:inline distT="0" distR="0" distB="0" distL="0">
                  <wp:extent cx="2268000" cy="925344"/>
                  <wp:docPr id="0" name="Drawing 0" descr="24017b7f83c897e3179a3fc4ea542d5369fced94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24017b7f83c897e3179a3fc4ea542d5369fced94.png"/>
                          <pic:cNvPicPr>
                            <a:picLocks noChangeAspect="true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00" cy="92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pct" w:w="850"/>
            <w:vMerge w:val="restart"/>
          </w:tcPr>
          <w:p/>
        </w:tc>
        <w:tc>
          <w:tcPr>
            <w:tcW w:type="pct" w:w="100"/>
            <w:vMerge w:val="restart"/>
          </w:tcPr>
          <w:p>
            <w:pPr>
              <w:spacing w:beforeLines="0" w:after="0"/>
              <w:ind w:left="0" w:right="0"/>
              <w:jc w:val="left"/>
            </w:pPr>
            <w:r>
              <w:rPr>
                <w:sz w:val="24"/>
                <w:color w:val="000000"/>
                <w:b w:val="off"/>
                <w:u w:val="none"/>
              </w:rPr>
              <w:t xml:space="preserve"> </w:t>
            </w:r>
          </w:p>
        </w:tc>
        <w:tc>
          <w:tcPr>
            <w:tcW w:type="pct" w:w="1900"/>
            <w:hMerge w:val="restart"/>
            <w:shd w:color="auto" w:val="clear" w:fill="64666B"/>
          </w:tcPr>
          <w:p>
            <w:pPr>
              <w:spacing w:beforeLines="80" w:after="25"/>
              <w:ind w:left="150" w:right="0"/>
              <w:jc w:val="left"/>
            </w:pPr>
            <w:r>
              <w:rPr>
                <w:sz w:val="20"/>
                <w:color w:val="FFFFFF"/>
                <w:b w:val="off"/>
                <w:u w:val="none"/>
              </w:rPr>
              <w:t>VEHICLE</w:t>
            </w:r>
          </w:p>
        </w:tc>
        <w:tc>
          <w:tcPr>
            <w:hMerge w:val="continue"/>
          </w:tcPr>
          <w:p/>
        </w:tc>
        <w:tc>
          <w:tcPr>
            <w:tcW w:type="pct" w:w="900"/>
            <w:vMerge w:val="restart"/>
            <w:shd w:color="auto" w:val="clear" w:fill="64666B"/>
            <w:vAlign w:val="center"/>
          </w:tcPr>
          <w:p>
            <w:pPr>
              <w:spacing w:before="0" w:beforeLines="0" w:after="0" w:afterLines="0"/>
              <w:jc w:val="center"/>
            </w:pPr>
            <w:r>
              <w:drawing>
                <wp:inline distT="0" distR="0" distB="0" distL="0">
                  <wp:extent cx="960120" cy="960120"/>
                  <wp:docPr id="1" name="Drawing 1" descr="generatedQrCode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atedQrCode"/>
                          <pic:cNvPicPr>
                            <a:picLocks noChangeAspect="true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type="pct" w:w="1000"/>
            <w:shd w:color="auto" w:val="clear" w:fill="64666B"/>
          </w:tcPr>
          <w:p>
            <w:pPr>
              <w:spacing w:beforeLines="25" w:after="25"/>
              <w:ind w:left="150" w:right="0"/>
              <w:jc w:val="left"/>
            </w:pPr>
            <w:r>
              <w:rPr>
                <w:sz w:val="18"/>
                <w:color w:val="FFFFFF"/>
                <w:b w:val="off"/>
                <w:u w:val="none"/>
              </w:rPr>
              <w:t>Chassis</w:t>
            </w:r>
          </w:p>
        </w:tc>
        <w:tc>
          <w:tcPr>
            <w:tcW w:type="pct" w:w="900"/>
            <w:shd w:color="auto" w:val="clear" w:fill="64666B"/>
          </w:tcPr>
          <w:p>
            <w:pPr>
              <w:spacing w:beforeLines="25" w:after="25"/>
              <w:ind w:left="150" w:right="0"/>
              <w:jc w:val="left"/>
            </w:pPr>
            <w:r>
              <w:rPr>
                <w:sz w:val="18"/>
                <w:color w:val="FFFFFF"/>
                <w:b w:val="off"/>
                <w:u w:val="none"/>
              </w:rPr>
              <w:t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type="pct" w:w="1000"/>
            <w:shd w:color="auto" w:val="clear" w:fill="64666B"/>
          </w:tcPr>
          <w:p>
            <w:pPr>
              <w:spacing w:beforeLines="25" w:after="25"/>
              <w:ind w:left="150" w:right="0"/>
              <w:jc w:val="left"/>
            </w:pPr>
            <w:r>
              <w:rPr>
                <w:sz w:val="18"/>
                <w:color w:val="FFFFFF"/>
                <w:b w:val="off"/>
                <w:u w:val="none"/>
              </w:rPr>
              <w:t>Motor</w:t>
            </w:r>
          </w:p>
        </w:tc>
        <w:tc>
          <w:tcPr>
            <w:tcW w:type="pct" w:w="900"/>
            <w:shd w:color="auto" w:val="clear" w:fill="64666B"/>
          </w:tcPr>
          <w:p>
            <w:pPr>
              <w:spacing w:beforeLines="25" w:after="25"/>
              <w:ind w:left="150" w:right="0"/>
              <w:jc w:val="left"/>
            </w:pPr>
            <w:r>
              <w:rPr>
                <w:sz w:val="18"/>
                <w:color w:val="FFFFFF"/>
                <w:b w:val="off"/>
                <w:u w:val="none"/>
              </w:rPr>
              <w:t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type="pct" w:w="1000"/>
            <w:shd w:color="auto" w:val="clear" w:fill="64666B"/>
          </w:tcPr>
          <w:p>
            <w:pPr>
              <w:spacing w:beforeLines="25" w:after="25"/>
              <w:ind w:left="150" w:right="0"/>
              <w:jc w:val="left"/>
            </w:pPr>
            <w:r>
              <w:rPr>
                <w:sz w:val="18"/>
                <w:color w:val="FFFFFF"/>
                <w:b w:val="off"/>
                <w:u w:val="none"/>
              </w:rPr>
              <w:t>Gearbox</w:t>
            </w:r>
          </w:p>
        </w:tc>
        <w:tc>
          <w:tcPr>
            <w:tcW w:type="pct" w:w="900"/>
            <w:shd w:color="auto" w:val="clear" w:fill="64666B"/>
          </w:tcPr>
          <w:p>
            <w:pPr>
              <w:spacing w:beforeLines="25" w:after="25"/>
              <w:ind w:left="150" w:right="0"/>
              <w:jc w:val="left"/>
            </w:pPr>
            <w:r>
              <w:rPr>
                <w:sz w:val="18"/>
                <w:color w:val="FFFFFF"/>
                <w:b w:val="off"/>
                <w:u w:val="none"/>
              </w:rPr>
              <w:t>autom.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type="pct" w:w="1000"/>
            <w:shd w:color="auto" w:val="clear" w:fill="64666B"/>
          </w:tcPr>
          <w:p/>
        </w:tc>
        <w:tc>
          <w:tcPr>
            <w:tcW w:type="pct" w:w="900"/>
            <w:shd w:color="auto" w:val="clear" w:fill="64666B"/>
          </w:tcPr>
          <w:p/>
        </w:tc>
        <w:tc>
          <w:tcPr>
            <w:vMerge w:val="continue"/>
          </w:tcPr>
          <w:p/>
        </w:tc>
      </w:tr>
    </w:tbl>
    <w:p>
      <w:pPr>
        <w:spacing w:before="80" w:beforeLines="0" w:after="0" w:afterLines="0"/>
      </w:pPr>
      <w:r>
        <w:rPr>
          <w:sz w:val="0"/>
        </w:rPr>
        <w:t>​</w:t>
      </w:r>
    </w:p>
    <w:tbl>
      <w:tblPr>
        <w:tblW w:w="5000" w:type="pct"/>
      </w:tblPr>
      <w:tr>
        <w:tc>
          <w:tcPr>
            <w:tcW w:type="dxa" w:w="2649"/>
          </w:tcPr>
          <w:p>
            <w:pPr>
              <w:spacing w:before="0" w:beforeLines="0" w:after="0" w:afterLines="0"/>
              <w:jc w:val="left"/>
              <w:textAlignment w:val="center"/>
            </w:pPr>
            <w:r>
              <w:drawing>
                <wp:inline distT="0" distR="0" distB="0" distL="0">
                  <wp:extent cx="302400" cy="302400"/>
                  <wp:docPr id="2" name="Drawing 2" descr="weinsberg-schlafplaetze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einsberg-schlafplaetze.png"/>
                          <pic:cNvPicPr>
                            <a:picLocks noChangeAspect="true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400" cy="30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color w:val="000000"/>
                <w:b w:val="off"/>
                <w:u w:val="none"/>
              </w:rPr>
              <w:t xml:space="preserve">  3 Sleeping places</w:t>
            </w:r>
          </w:p>
        </w:tc>
        <w:tc>
          <w:tcPr>
            <w:tcW w:type="dxa" w:w="2888"/>
          </w:tcPr>
          <w:p>
            <w:pPr>
              <w:spacing w:before="0" w:beforeLines="0" w:after="0" w:afterLines="0"/>
              <w:jc w:val="center"/>
              <w:textAlignment w:val="center"/>
            </w:pPr>
            <w:r>
              <w:drawing>
                <wp:inline distT="0" distR="0" distB="0" distL="0">
                  <wp:extent cx="302400" cy="302400"/>
                  <wp:docPr id="3" name="Drawing 3" descr="weinsberg-gurtplaetze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einsberg-gurtplaetze.png"/>
                          <pic:cNvPicPr>
                            <a:picLocks noChangeAspect="true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400" cy="30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color w:val="000000"/>
                <w:b w:val="off"/>
                <w:u w:val="none"/>
              </w:rPr>
              <w:t xml:space="preserve">  4 belt-secured seats</w:t>
            </w:r>
          </w:p>
        </w:tc>
        <w:tc>
          <w:tcPr>
            <w:tcW w:type="dxa" w:w="2410"/>
          </w:tcPr>
          <w:p>
            <w:pPr>
              <w:spacing w:before="0" w:beforeLines="0" w:after="0" w:afterLines="0"/>
              <w:jc w:val="center"/>
              <w:textAlignment w:val="center"/>
            </w:pPr>
            <w:r>
              <w:drawing>
                <wp:inline distT="0" distR="0" distB="0" distL="0">
                  <wp:extent cx="302400" cy="302400"/>
                  <wp:docPr id="4" name="Drawing 4" descr="weinsberg-breite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einsberg-breite.png"/>
                          <pic:cNvPicPr>
                            <a:picLocks noChangeAspect="true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400" cy="30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color w:val="000000"/>
                <w:b w:val="off"/>
                <w:u w:val="none"/>
              </w:rPr>
              <w:t xml:space="preserve">  under 6 meters</w:t>
            </w:r>
          </w:p>
        </w:tc>
        <w:tc>
          <w:tcPr>
            <w:tcW w:type="dxa" w:w="2410"/>
          </w:tcPr>
          <w:p>
            <w:pPr>
              <w:spacing w:before="0" w:beforeLines="0" w:after="0" w:afterLines="0"/>
              <w:jc w:val="right"/>
              <w:textAlignment w:val="center"/>
            </w:pPr>
            <w:r>
              <w:drawing>
                <wp:inline distT="0" distR="0" distB="0" distL="0">
                  <wp:extent cx="302400" cy="302400"/>
                  <wp:docPr id="5" name="Drawing 5" descr="weinsberg-gewicht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einsberg-gewicht.png"/>
                          <pic:cNvPicPr>
                            <a:picLocks noChangeAspect="true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400" cy="30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color w:val="000000"/>
                <w:b w:val="off"/>
                <w:u w:val="none"/>
              </w:rPr>
              <w:t xml:space="preserve">  under 3.500 kg</w:t>
            </w:r>
          </w:p>
        </w:tc>
      </w:tr>
    </w:tbl>
    <w:p>
      <w:pPr>
        <w:spacing w:before="80" w:beforeLines="0" w:after="0" w:afterLines="0"/>
      </w:pPr>
      <w:r>
        <w:rPr>
          <w:sz w:val="0"/>
        </w:rPr>
        <w:t>​</w:t>
      </w:r>
    </w:p>
    <w:tbl>
      <w:tblPr>
        <w:tblW w:w="5000" w:type="pct"/>
        <w:tblLayout w:type="fixed"/>
        <w:tblCellMar/>
      </w:tblPr>
      <w:tr>
        <w:tc>
          <w:tcPr>
            <w:shd w:color="auto" w:val="clear" w:fill="64666B"/>
          </w:tcPr>
          <w:p>
            <w:pPr>
              <w:spacing w:beforeLines="2" w:afterLines="10"/>
              <w:ind w:left="50" w:right="50"/>
              <w:jc w:val="left"/>
            </w:pPr>
            <w:r>
              <w:rPr>
                <w:sz w:val="24"/>
                <w:b w:val="on"/>
                <w:color w:val="FFFFFF"/>
              </w:rPr>
              <w:t>Technical Data</w:t>
            </w:r>
          </w:p>
        </w:tc>
        <w:tc>
          <w:tcPr>
            <w:shd w:color="auto" w:val="clear" w:fill="64666B"/>
          </w:tcPr>
          <w:p>
            <w:pPr>
              <w:spacing w:beforeLines="2" w:afterLines="10"/>
              <w:ind w:left="50" w:right="50"/>
              <w:jc w:val="right"/>
            </w:pPr>
            <w:r>
              <w:rPr>
                <w:sz w:val="24"/>
                <w:b w:val="on"/>
                <w:color w:val="FFFFFF"/>
              </w:rPr>
              <w:t xsi:nil="true"/>
            </w:r>
          </w:p>
        </w:tc>
      </w:tr>
    </w:tbl>
    <w:tbl>
      <w:tblPr>
        <w:tblW w:w="0" w:type="auto"/>
      </w:tblPr>
      <w:tr>
        <w:tc>
          <w:tcPr>
            <w:tcW w:type="pct" w:w="2500"/>
          </w:tcPr>
          <w:tbl>
            <w:tblPr>
              <w:tblW w:w="4950" w:type="pct"/>
              <w:jc w:val="start"/>
              <w:tblBorders>
                <w:top w:val="none" w:sz="1" w:space="0" w:color=""/>
                <w:left w:val="none" w:sz="1" w:space="0" w:color=""/>
                <w:bottom w:val="none" w:sz="1" w:space="0" w:color=""/>
                <w:right w:val="none" w:sz="1" w:space="0" w:color=""/>
                <w:insideH w:val="none" w:sz="1" w:space="0" w:color=""/>
                <w:insideV w:val="none" w:sz="1" w:space="0" w:color=""/>
              </w:tblBorders>
              <w:tblCellMar/>
            </w:tblPr>
            <w:tr>
              <w:trPr>
                <w:trHeight w:hRule="auto"/>
              </w:trPr>
              <w:tc>
                <w:tcPr>
                  <w:tcW w:w="1340" w:type="dxa"/>
                  <w:shd w:color="auto" w:val="clear" w:fill="F1F1F2"/>
                </w:tcPr>
                <w:p>
                  <w:pPr>
                    <w:spacing w:before="25" w:after="25" w:beforeLines="25"/>
                    <w:ind w:left="45" w:right="45"/>
                  </w:pPr>
                  <w:r>
                    <w:rPr>
                      <w:sz w:val="20"/>
                      <w:b w:val="on"/>
                      <w:color w:val="64666B"/>
                    </w:rPr>
                    <w:t>Dimensions:</w:t>
                  </w:r>
                </w:p>
              </w:tc>
              <w:tc>
                <w:tcPr>
                  <w:tcW w:w="660" w:type="dxa"/>
                  <w:shd w:color="auto" w:val="clear" w:fill="F1F1F2"/>
                </w:tcPr>
                <w:p>
                  <w:pPr>
                    <w:spacing w:before="25" w:after="25" w:beforeLines="25"/>
                    <w:ind w:left="45" w:right="45"/>
                    <w:jc w:val="end"/>
                  </w:pPr>
                  <w:r>
                    <w:rPr>
                      <w:sz w:val="20"/>
                      <w:b w:val="on"/>
                      <w:color w:val="64666B"/>
                    </w:rPr>
                    <w:t/>
                  </w:r>
                </w:p>
              </w:tc>
            </w:tr>
            <w:tr>
              <w:trPr>
                <w:trHeight w:hRule="auto"/>
              </w:trPr>
              <w:tc>
                <w:tcPr>
                  <w:tcW w:w="1340" w:type="dxa"/>
                  <w:shd w:color="auto" w:val="clear" w:fill="FFFFFF"/>
                </w:tcPr>
                <w:p>
                  <w:pPr>
                    <w:spacing w:before="25" w:after="25"/>
                    <w:ind w:left="45" w:right="45"/>
                  </w:pPr>
                  <w:r>
                    <w:rPr>
                      <w:sz w:val="20"/>
                      <w:b w:val="off"/>
                      <w:color w:val="64666B"/>
                    </w:rPr>
                    <w:t>Width outside/inside (cm)</w:t>
                  </w:r>
                </w:p>
              </w:tc>
              <w:tc>
                <w:tcPr>
                  <w:tcW w:w="660" w:type="dxa"/>
                  <w:shd w:color="auto" w:val="clear" w:fill="FFFFFF"/>
                </w:tcPr>
                <w:p>
                  <w:pPr>
                    <w:spacing w:before="25" w:after="25"/>
                    <w:ind w:left="45" w:right="45"/>
                    <w:jc w:val="end"/>
                  </w:pPr>
                  <w:r>
                    <w:rPr>
                      <w:sz w:val="20"/>
                      <w:b w:val="off"/>
                      <w:color w:val="64666B"/>
                    </w:rPr>
                    <w:t>206 / 187</w:t>
                  </w:r>
                </w:p>
              </w:tc>
            </w:tr>
            <w:tr>
              <w:trPr>
                <w:trHeight w:hRule="auto"/>
              </w:trPr>
              <w:tc>
                <w:tcPr>
                  <w:tcW w:w="1340" w:type="dxa"/>
                  <w:shd w:color="auto" w:val="clear" w:fill="F1F1F2"/>
                </w:tcPr>
                <w:p>
                  <w:pPr>
                    <w:spacing w:before="25" w:after="25"/>
                    <w:ind w:left="45" w:right="45"/>
                  </w:pPr>
                  <w:r>
                    <w:rPr>
                      <w:sz w:val="20"/>
                      <w:b w:val="off"/>
                      <w:color w:val="64666B"/>
                    </w:rPr>
                    <w:t>Height outside/inside (cm)</w:t>
                  </w:r>
                </w:p>
              </w:tc>
              <w:tc>
                <w:tcPr>
                  <w:tcW w:w="660" w:type="dxa"/>
                  <w:shd w:color="auto" w:val="clear" w:fill="F1F1F2"/>
                </w:tcPr>
                <w:p>
                  <w:pPr>
                    <w:spacing w:before="25" w:after="25"/>
                    <w:ind w:left="45" w:right="45"/>
                    <w:jc w:val="end"/>
                  </w:pPr>
                  <w:r>
                    <w:rPr>
                      <w:sz w:val="20"/>
                      <w:b w:val="off"/>
                      <w:color w:val="64666B"/>
                    </w:rPr>
                    <w:t>274 / 205</w:t>
                  </w:r>
                </w:p>
              </w:tc>
            </w:tr>
            <w:tr>
              <w:trPr>
                <w:trHeight w:hRule="auto"/>
              </w:trPr>
              <w:tc>
                <w:tcPr>
                  <w:tcW w:w="1340" w:type="dxa"/>
                  <w:shd w:color="auto" w:val="clear" w:fill="FFFFFF"/>
                </w:tcPr>
                <w:p>
                  <w:pPr>
                    <w:spacing w:before="25" w:after="25"/>
                    <w:ind w:left="45" w:right="45"/>
                  </w:pPr>
                  <w:r>
                    <w:rPr>
                      <w:sz w:val="20"/>
                      <w:b w:val="off"/>
                      <w:color w:val="64666B"/>
                    </w:rPr>
                    <w:t>Bed size, seating group (spare bed) (cm)</w:t>
                  </w:r>
                </w:p>
              </w:tc>
              <w:tc>
                <w:tcPr>
                  <w:tcW w:w="660" w:type="dxa"/>
                  <w:shd w:color="auto" w:val="clear" w:fill="FFFFFF"/>
                </w:tcPr>
                <w:p>
                  <w:pPr>
                    <w:spacing w:before="25" w:after="25"/>
                    <w:ind w:left="45" w:right="45"/>
                    <w:jc w:val="end"/>
                  </w:pPr>
                  <w:r>
                    <w:rPr>
                      <w:sz w:val="20"/>
                      <w:b w:val="off"/>
                      <w:color w:val="64666B"/>
                    </w:rPr>
                    <w:t>156 x 70</w:t>
                  </w:r>
                </w:p>
              </w:tc>
            </w:tr>
            <w:tr>
              <w:trPr>
                <w:trHeight w:hRule="auto"/>
              </w:trPr>
              <w:tc>
                <w:tcPr>
                  <w:tcW w:w="1340" w:type="dxa"/>
                  <w:shd w:color="auto" w:val="clear" w:fill="F1F1F2"/>
                </w:tcPr>
                <w:p>
                  <w:pPr>
                    <w:spacing w:before="25" w:after="25"/>
                    <w:ind w:left="45" w:right="45"/>
                  </w:pPr>
                  <w:r>
                    <w:rPr>
                      <w:sz w:val="20"/>
                      <w:b w:val="off"/>
                      <w:color w:val="64666B"/>
                    </w:rPr>
                    <w:t>Bed size, rear (cm)</w:t>
                  </w:r>
                </w:p>
              </w:tc>
              <w:tc>
                <w:tcPr>
                  <w:tcW w:w="660" w:type="dxa"/>
                  <w:shd w:color="auto" w:val="clear" w:fill="F1F1F2"/>
                </w:tcPr>
                <w:p>
                  <w:pPr>
                    <w:spacing w:before="25" w:after="25"/>
                    <w:ind w:left="45" w:right="45"/>
                    <w:jc w:val="end"/>
                  </w:pPr>
                  <w:r>
                    <w:rPr>
                      <w:sz w:val="20"/>
                      <w:b w:val="off"/>
                      <w:color w:val="64666B"/>
                    </w:rPr>
                    <w:t>193 x 147/138</w:t>
                  </w:r>
                </w:p>
              </w:tc>
            </w:tr>
            <w:tr>
              <w:trPr>
                <w:trHeight w:hRule="auto"/>
              </w:trPr>
              <w:tc>
                <w:tcPr>
                  <w:tcW w:w="1340" w:type="dxa"/>
                  <w:shd w:color="auto" w:val="clear" w:fill="FFFFFF"/>
                </w:tcPr>
                <w:p>
                  <w:pPr>
                    <w:spacing w:before="25" w:after="25"/>
                    <w:ind w:left="45" w:right="45"/>
                  </w:pPr>
                  <w:r>
                    <w:rPr>
                      <w:sz w:val="20"/>
                      <w:b w:val="off"/>
                      <w:color w:val="64666B"/>
                    </w:rPr>
                    <w:t>Bed size, guest bed optional (cm)</w:t>
                  </w:r>
                </w:p>
              </w:tc>
              <w:tc>
                <w:tcPr>
                  <w:tcW w:w="660" w:type="dxa"/>
                  <w:shd w:color="auto" w:val="clear" w:fill="FFFFFF"/>
                </w:tcPr>
                <w:p>
                  <w:pPr>
                    <w:spacing w:before="25" w:after="25"/>
                    <w:ind w:left="45" w:right="45"/>
                    <w:jc w:val="end"/>
                  </w:pPr>
                  <w:r>
                    <w:rPr>
                      <w:sz w:val="20"/>
                      <w:b w:val="off"/>
                      <w:color w:val="64666B"/>
                    </w:rPr>
                    <w:t>164 x 100/62</w:t>
                  </w:r>
                </w:p>
              </w:tc>
            </w:tr>
          </w:tbl>
          <w:p/>
        </w:tc>
        <w:tc>
          <w:tcPr>
            <w:tcW w:type="pct" w:w="2500"/>
          </w:tcPr>
          <w:tbl>
            <w:tblPr>
              <w:tblW w:w="4950" w:type="pct"/>
              <w:jc w:val="end"/>
              <w:tblBorders>
                <w:top w:val="none" w:sz="1" w:space="0" w:color=""/>
                <w:left w:val="none" w:sz="1" w:space="0" w:color=""/>
                <w:bottom w:val="none" w:sz="1" w:space="0" w:color=""/>
                <w:right w:val="none" w:sz="1" w:space="0" w:color=""/>
                <w:insideH w:val="none" w:sz="1" w:space="0" w:color=""/>
                <w:insideV w:val="none" w:sz="1" w:space="0" w:color=""/>
              </w:tblBorders>
              <w:tblCellMar/>
            </w:tblPr>
            <w:tr>
              <w:trPr>
                <w:trHeight w:hRule="auto"/>
              </w:trPr>
              <w:tc>
                <w:tcPr>
                  <w:tcW w:w="1340" w:type="dxa"/>
                  <w:shd w:color="auto" w:val="clear" w:fill="F1F1F2"/>
                </w:tcPr>
                <w:p>
                  <w:pPr>
                    <w:spacing w:before="25" w:after="25" w:beforeLines="25"/>
                    <w:ind w:left="45" w:right="45"/>
                  </w:pPr>
                  <w:r>
                    <w:rPr>
                      <w:sz w:val="20"/>
                      <w:b w:val="on"/>
                      <w:color w:val="64666B"/>
                    </w:rPr>
                    <w:t>Weight:</w:t>
                  </w:r>
                </w:p>
              </w:tc>
              <w:tc>
                <w:tcPr>
                  <w:tcW w:w="660" w:type="dxa"/>
                  <w:shd w:color="auto" w:val="clear" w:fill="F1F1F2"/>
                </w:tcPr>
                <w:p>
                  <w:pPr>
                    <w:spacing w:before="25" w:after="25" w:beforeLines="25"/>
                    <w:ind w:left="45" w:right="45"/>
                    <w:jc w:val="end"/>
                  </w:pPr>
                  <w:r>
                    <w:rPr>
                      <w:sz w:val="20"/>
                      <w:b w:val="on"/>
                      <w:color w:val="64666B"/>
                    </w:rPr>
                    <w:t/>
                  </w:r>
                </w:p>
              </w:tc>
            </w:tr>
            <w:tr>
              <w:trPr>
                <w:trHeight w:hRule="auto"/>
              </w:trPr>
              <w:tc>
                <w:tcPr>
                  <w:tcW w:w="1340" w:type="dxa"/>
                  <w:shd w:color="auto" w:val="clear" w:fill="FFFFFF"/>
                </w:tcPr>
                <w:p>
                  <w:pPr>
                    <w:spacing w:before="25" w:after="25"/>
                    <w:ind w:left="45" w:right="45"/>
                  </w:pPr>
                  <w:r>
                    <w:rPr>
                      <w:sz w:val="20"/>
                      <w:b w:val="off"/>
                      <w:color w:val="64666B"/>
                    </w:rPr>
                    <w:t>Tech. max. auth. laden mass (kg)</w:t>
                  </w:r>
                </w:p>
              </w:tc>
              <w:tc>
                <w:tcPr>
                  <w:tcW w:w="660" w:type="dxa"/>
                  <w:shd w:color="auto" w:val="clear" w:fill="FFFFFF"/>
                </w:tcPr>
                <w:p>
                  <w:pPr>
                    <w:spacing w:before="25" w:after="25"/>
                    <w:ind w:left="45" w:right="45"/>
                    <w:jc w:val="end"/>
                  </w:pPr>
                  <w:r>
                    <w:rPr>
                      <w:sz w:val="20"/>
                      <w:b w:val="off"/>
                      <w:color w:val="64666B"/>
                    </w:rPr>
                    <w:t>3.500</w:t>
                  </w:r>
                </w:p>
              </w:tc>
            </w:tr>
            <w:tr>
              <w:trPr>
                <w:trHeight w:hRule="auto"/>
              </w:trPr>
              <w:tc>
                <w:tcPr>
                  <w:tcW w:w="1340" w:type="dxa"/>
                  <w:shd w:color="auto" w:val="clear" w:fill="F1F1F2"/>
                </w:tcPr>
                <w:p>
                  <w:pPr>
                    <w:spacing w:before="25" w:after="25"/>
                    <w:ind w:left="45" w:right="45"/>
                  </w:pPr>
                  <w:r>
                    <w:rPr>
                      <w:sz w:val="20"/>
                      <w:b w:val="off"/>
                      <w:color w:val="64666B"/>
                    </w:rPr>
                    <w:t>Mass in running order (kg)</w:t>
                  </w:r>
                </w:p>
              </w:tc>
              <w:tc>
                <w:tcPr>
                  <w:tcW w:w="660" w:type="dxa"/>
                  <w:shd w:color="auto" w:val="clear" w:fill="F1F1F2"/>
                </w:tcPr>
                <w:p>
                  <w:pPr>
                    <w:spacing w:before="25" w:after="25"/>
                    <w:ind w:left="45" w:right="45"/>
                    <w:jc w:val="end"/>
                  </w:pPr>
                  <w:r>
                    <w:rPr>
                      <w:sz w:val="20"/>
                      <w:b w:val="off"/>
                      <w:color w:val="64666B"/>
                    </w:rPr>
                    <w:t>2.855 (2.712 - 2.997)</w:t>
                  </w:r>
                </w:p>
              </w:tc>
            </w:tr>
            <w:tr>
              <w:trPr>
                <w:trHeight w:hRule="auto"/>
              </w:trPr>
              <w:tc>
                <w:tcPr>
                  <w:tcW w:w="1340" w:type="dxa"/>
                  <w:shd w:color="auto" w:val="clear" w:fill="FFFFFF"/>
                </w:tcPr>
                <w:p>
                  <w:pPr>
                    <w:spacing w:before="25" w:after="25"/>
                    <w:ind w:left="45" w:right="45"/>
                  </w:pPr>
                  <w:r>
                    <w:rPr>
                      <w:sz w:val="20"/>
                      <w:b w:val="off"/>
                      <w:color w:val="64666B"/>
                    </w:rPr>
                    <w:t>Remaining mass of the optional equipment (kg)</w:t>
                  </w:r>
                </w:p>
              </w:tc>
              <w:tc>
                <w:tcPr>
                  <w:tcW w:w="660" w:type="dxa"/>
                  <w:shd w:color="auto" w:val="clear" w:fill="FFFFFF"/>
                </w:tcPr>
                <w:p>
                  <w:pPr>
                    <w:spacing w:before="25" w:after="25"/>
                    <w:ind w:left="45" w:right="45"/>
                    <w:jc w:val="end"/>
                  </w:pPr>
                  <w:r>
                    <w:rPr>
                      <w:sz w:val="20"/>
                      <w:b w:val="off"/>
                      <w:color w:val="64666B"/>
                    </w:rPr>
                    <w:t>243</w:t>
                  </w:r>
                </w:p>
              </w:tc>
            </w:tr>
          </w:tbl>
          <w:p/>
        </w:tc>
      </w:tr>
    </w:tbl>
    <w:p>
      <w:pPr>
        <w:spacing w:before="80" w:beforeLines="0" w:after="0" w:afterLines="0"/>
      </w:pPr>
      <w:r>
        <w:rPr>
          <w:sz w:val="0"/>
        </w:rPr>
        <w:t>​</w:t>
      </w:r>
    </w:p>
    <w:tbl>
      <w:tblPr>
        <w:tblW w:w="5000" w:type="pct"/>
        <w:tblLayout w:type="fixed"/>
        <w:tblCellMar/>
      </w:tblPr>
      <w:tr>
        <w:tc>
          <w:tcPr>
            <w:shd w:color="auto" w:val="clear" w:fill="64666B"/>
          </w:tcPr>
          <w:p>
            <w:pPr>
              <w:spacing w:beforeLines="2" w:afterLines="10"/>
              <w:ind w:left="50" w:right="50"/>
              <w:jc w:val="left"/>
            </w:pPr>
            <w:r>
              <w:rPr>
                <w:sz w:val="24"/>
                <w:b w:val="on"/>
                <w:color w:val="FFFFFF"/>
              </w:rPr>
              <w:t>Special equipment</w:t>
            </w:r>
          </w:p>
        </w:tc>
        <w:tc>
          <w:tcPr>
            <w:shd w:color="auto" w:val="clear" w:fill="64666B"/>
          </w:tcPr>
          <w:p>
            <w:pPr>
              <w:spacing w:beforeLines="2" w:afterLines="10"/>
              <w:ind w:left="50" w:right="50"/>
              <w:jc w:val="right"/>
            </w:pPr>
            <w:r>
              <w:rPr>
                <w:sz w:val="24"/>
                <w:b w:val="on"/>
                <w:color w:val="FFFFFF"/>
              </w:rPr>
              <w:t>9.483 €</w:t>
            </w:r>
          </w:p>
        </w:tc>
      </w:tr>
    </w:tbl>
    <w:tbl>
      <w:tblPr>
        <w:tblW w:w="0" w:type="auto"/>
      </w:tblPr>
      <w:tr>
        <w:tc>
          <w:tcPr>
            <w:tcW w:type="pct" w:w="2500"/>
          </w:tcPr>
          <w:tbl>
            <w:tblPr>
              <w:tblW w:w="4950" w:type="pct"/>
              <w:jc w:val="start"/>
              <w:tblBorders>
                <w:top w:val="none" w:sz="1" w:space="0" w:color=""/>
                <w:left w:val="none" w:sz="1" w:space="0" w:color=""/>
                <w:bottom w:val="none" w:sz="1" w:space="0" w:color=""/>
                <w:right w:val="none" w:sz="1" w:space="0" w:color=""/>
                <w:insideH w:val="none" w:sz="1" w:space="0" w:color=""/>
                <w:insideV w:val="none" w:sz="1" w:space="0" w:color=""/>
              </w:tblBorders>
              <w:tblCellMar/>
            </w:tblPr>
            <w:tr>
              <w:trPr>
                <w:trHeight w:hRule="auto"/>
              </w:trPr>
              <w:tc>
                <w:tcPr>
                  <w:tcW w:w="1440" w:type="dxa"/>
                  <w:shd w:color="auto" w:val="clear" w:fill=""/>
                </w:tcPr>
                <w:p>
                  <w:pPr>
                    <w:spacing w:before="25" w:after="25" w:beforeLines="25"/>
                    <w:ind w:left="45" w:right="45"/>
                  </w:pPr>
                  <w:r>
                    <w:rPr>
                      <w:sz w:val="20"/>
                      <w:b w:val="on"/>
                      <w:color w:val="64666B"/>
                    </w:rPr>
                    <w:t>Motorisation / Drive / Gearing / Load increase</w:t>
                  </w:r>
                </w:p>
              </w:tc>
              <w:tc>
                <w:tcPr>
                  <w:tcW w:w="560" w:type="dxa"/>
                  <w:shd w:color="auto" w:val="clear" w:fill=""/>
                </w:tcPr>
                <w:p>
                  <w:pPr>
                    <w:spacing w:before="25" w:after="25" w:beforeLines="25"/>
                    <w:ind w:left="45" w:right="45"/>
                    <w:jc w:val="end"/>
                  </w:pPr>
                  <w:r>
                    <w:rPr>
                      <w:sz w:val="20"/>
                      <w:b w:val="on"/>
                      <w:color w:val="64666B"/>
                    </w:rPr>
                    <w:t/>
                  </w:r>
                </w:p>
              </w:tc>
            </w:tr>
            <w:tr>
              <w:trPr>
                <w:trHeight w:hRule="auto"/>
              </w:trPr>
              <w:tc>
                <w:tcPr>
                  <w:tcW w:w="1440" w:type="dxa"/>
                  <w:shd w:color="auto" w:val="clear" w:fill="F1F1F2"/>
                </w:tcPr>
                <w:p>
                  <w:pPr>
                    <w:spacing w:before="25" w:after="25"/>
                    <w:ind w:left="45" w:right="45"/>
                  </w:pPr>
                  <w:r>
                    <w:rPr>
                      <w:sz w:val="20"/>
                      <w:b w:val="off"/>
                      <w:color w:val="64666B"/>
                    </w:rPr>
                    <w:t>FORD TRANSIT 3.500 kg***; L3 FWD 2.0 l EcoBlue Light Duty; 170 HP</w:t>
                  </w:r>
                </w:p>
              </w:tc>
              <w:tc>
                <w:tcPr>
                  <w:tcW w:w="560" w:type="dxa"/>
                  <w:shd w:color="auto" w:val="clear" w:fill="F1F1F2"/>
                </w:tcPr>
                <w:p>
                  <w:pPr>
                    <w:spacing w:before="25" w:after="25"/>
                    <w:ind w:left="45" w:right="45"/>
                    <w:jc w:val="end"/>
                  </w:pPr>
                  <w:r>
                    <w:rPr>
                      <w:sz w:val="20"/>
                      <w:b w:val="off"/>
                      <w:color w:val="64666B"/>
                    </w:rPr>
                    <w:t>1.503 €</w:t>
                  </w:r>
                </w:p>
              </w:tc>
            </w:tr>
            <w:tr>
              <w:trPr>
                <w:trHeight w:hRule="auto"/>
              </w:trPr>
              <w:tc>
                <w:tcPr>
                  <w:tcW w:w="1440" w:type="dxa"/>
                  <w:shd w:color="auto" w:val="clear" w:fill="FFFFFF"/>
                </w:tcPr>
                <w:p>
                  <w:pPr>
                    <w:spacing w:before="25" w:after="25"/>
                    <w:ind w:left="45" w:right="45"/>
                  </w:pPr>
                  <w:r>
                    <w:rPr>
                      <w:sz w:val="20"/>
                      <w:b w:val="off"/>
                      <w:color w:val="64666B"/>
                    </w:rPr>
                    <w:t>6-speed automatic transmission</w:t>
                  </w:r>
                </w:p>
              </w:tc>
              <w:tc>
                <w:tcPr>
                  <w:tcW w:w="560" w:type="dxa"/>
                  <w:shd w:color="auto" w:val="clear" w:fill="FFFFFF"/>
                </w:tcPr>
                <w:p>
                  <w:pPr>
                    <w:spacing w:before="25" w:after="25"/>
                    <w:ind w:left="45" w:right="45"/>
                    <w:jc w:val="end"/>
                  </w:pPr>
                  <w:r>
                    <w:rPr>
                      <w:sz w:val="20"/>
                      <w:b w:val="off"/>
                      <w:color w:val="64666B"/>
                    </w:rPr>
                    <w:t>2.279 €</w:t>
                  </w:r>
                </w:p>
              </w:tc>
            </w:tr>
            <w:tr>
              <w:trPr>
                <w:trHeight w:hRule="auto"/>
              </w:trPr>
              <w:tc>
                <w:tcPr>
                  <w:tcW w:w="1440" w:type="dxa"/>
                  <w:shd w:color="auto" w:val="clear" w:fill=""/>
                </w:tcPr>
                <w:p>
                  <w:pPr>
                    <w:spacing w:before="25" w:after="25"/>
                    <w:ind w:left="45" w:right="45"/>
                  </w:pPr>
                  <w:r>
                    <w:rPr>
                      <w:sz w:val="20"/>
                      <w:b w:val="on"/>
                      <w:color w:val="64666B"/>
                    </w:rPr>
                    <w:t>Chassis / Climate Control / Multimedia</w:t>
                  </w:r>
                </w:p>
              </w:tc>
              <w:tc>
                <w:tcPr>
                  <w:tcW w:w="560" w:type="dxa"/>
                  <w:shd w:color="auto" w:val="clear" w:fill=""/>
                </w:tcPr>
                <w:p>
                  <w:pPr>
                    <w:spacing w:before="25" w:after="25"/>
                    <w:ind w:left="45" w:right="45"/>
                    <w:jc w:val="end"/>
                  </w:pPr>
                  <w:r>
                    <w:rPr>
                      <w:sz w:val="20"/>
                      <w:b w:val="on"/>
                      <w:color w:val="64666B"/>
                    </w:rPr>
                    <w:t/>
                  </w:r>
                </w:p>
              </w:tc>
            </w:tr>
            <w:tr>
              <w:trPr>
                <w:trHeight w:hRule="auto"/>
              </w:trPr>
              <w:tc>
                <w:tcPr>
                  <w:tcW w:w="1440" w:type="dxa"/>
                  <w:shd w:color="auto" w:val="clear" w:fill="F1F1F2"/>
                </w:tcPr>
                <w:p>
                  <w:pPr>
                    <w:spacing w:before="25" w:after="25"/>
                    <w:ind w:left="45" w:right="45"/>
                  </w:pPr>
                  <w:r>
                    <w:rPr>
                      <w:sz w:val="20"/>
                      <w:b w:val="off"/>
                      <w:color w:val="64666B"/>
                    </w:rPr>
                    <w:t>Chassis in metallic paint: Magnetic-Grey</w:t>
                  </w:r>
                </w:p>
              </w:tc>
              <w:tc>
                <w:tcPr>
                  <w:tcW w:w="560" w:type="dxa"/>
                  <w:shd w:color="auto" w:val="clear" w:fill="F1F1F2"/>
                </w:tcPr>
                <w:p>
                  <w:pPr>
                    <w:spacing w:before="25" w:after="25"/>
                    <w:ind w:left="45" w:right="45"/>
                    <w:jc w:val="end"/>
                  </w:pPr>
                  <w:r>
                    <w:rPr>
                      <w:sz w:val="20"/>
                      <w:b w:val="off"/>
                      <w:color w:val="64666B"/>
                    </w:rPr>
                    <w:t>1.236 €</w:t>
                  </w:r>
                </w:p>
              </w:tc>
            </w:tr>
            <w:tr>
              <w:trPr>
                <w:trHeight w:hRule="auto"/>
              </w:trPr>
              <w:tc>
                <w:tcPr>
                  <w:tcW w:w="1440" w:type="dxa"/>
                  <w:shd w:color="auto" w:val="clear" w:fill="FFFFFF"/>
                </w:tcPr>
                <w:p>
                  <w:pPr>
                    <w:spacing w:before="25" w:after="25"/>
                    <w:ind w:left="45" w:right="45"/>
                  </w:pPr>
                  <w:r>
                    <w:rPr>
                      <w:sz w:val="20"/>
                      <w:b w:val="off"/>
                      <w:color w:val="64666B"/>
                    </w:rPr>
                    <w:t>FORD Light alloy rims for standard tyres</w:t>
                  </w:r>
                </w:p>
              </w:tc>
              <w:tc>
                <w:tcPr>
                  <w:tcW w:w="560" w:type="dxa"/>
                  <w:shd w:color="auto" w:val="clear" w:fill="FFFFFF"/>
                </w:tcPr>
                <w:p>
                  <w:pPr>
                    <w:spacing w:before="25" w:after="25"/>
                    <w:ind w:left="45" w:right="45"/>
                    <w:jc w:val="end"/>
                  </w:pPr>
                  <w:r>
                    <w:rPr>
                      <w:sz w:val="20"/>
                      <w:b w:val="off"/>
                      <w:color w:val="64666B"/>
                    </w:rPr>
                    <w:t>1.603 €</w:t>
                  </w:r>
                </w:p>
              </w:tc>
            </w:tr>
          </w:tbl>
          <w:p/>
        </w:tc>
        <w:tc>
          <w:tcPr>
            <w:tcW w:type="pct" w:w="2500"/>
          </w:tcPr>
          <w:tbl>
            <w:tblPr>
              <w:tblW w:w="4950" w:type="pct"/>
              <w:jc w:val="end"/>
              <w:tblBorders>
                <w:top w:val="none" w:sz="1" w:space="0" w:color=""/>
                <w:left w:val="none" w:sz="1" w:space="0" w:color=""/>
                <w:bottom w:val="none" w:sz="1" w:space="0" w:color=""/>
                <w:right w:val="none" w:sz="1" w:space="0" w:color=""/>
                <w:insideH w:val="none" w:sz="1" w:space="0" w:color=""/>
                <w:insideV w:val="none" w:sz="1" w:space="0" w:color=""/>
              </w:tblBorders>
              <w:tblCellMar/>
            </w:tblPr>
            <w:tr>
              <w:trPr>
                <w:trHeight w:hRule="auto"/>
              </w:trPr>
              <w:tc>
                <w:tcPr>
                  <w:tcW w:w="1440" w:type="dxa"/>
                  <w:shd w:color="auto" w:val="clear" w:fill="F1F1F2"/>
                </w:tcPr>
                <w:p>
                  <w:pPr>
                    <w:spacing w:before="25" w:after="25" w:beforeLines="25"/>
                    <w:ind w:left="45" w:right="45"/>
                  </w:pPr>
                  <w:r>
                    <w:rPr>
                      <w:sz w:val="20"/>
                      <w:b w:val="off"/>
                      <w:color w:val="64666B"/>
                    </w:rPr>
                    <w:t>TPMS Tyre Pressure Monitoring System</w:t>
                  </w:r>
                </w:p>
              </w:tc>
              <w:tc>
                <w:tcPr>
                  <w:tcW w:w="560" w:type="dxa"/>
                  <w:shd w:color="auto" w:val="clear" w:fill="F1F1F2"/>
                </w:tcPr>
                <w:p>
                  <w:pPr>
                    <w:spacing w:before="25" w:after="25" w:beforeLines="25"/>
                    <w:ind w:left="45" w:right="45"/>
                    <w:jc w:val="end"/>
                  </w:pPr>
                  <w:r>
                    <w:rPr>
                      <w:sz w:val="20"/>
                      <w:b w:val="off"/>
                      <w:color w:val="64666B"/>
                    </w:rPr>
                    <w:t>120 €</w:t>
                  </w:r>
                </w:p>
              </w:tc>
            </w:tr>
            <w:tr>
              <w:trPr>
                <w:trHeight w:hRule="auto"/>
              </w:trPr>
              <w:tc>
                <w:tcPr>
                  <w:tcW w:w="1440" w:type="dxa"/>
                  <w:shd w:color="auto" w:val="clear" w:fill=""/>
                </w:tcPr>
                <w:p>
                  <w:pPr>
                    <w:spacing w:before="25" w:after="25"/>
                    <w:ind w:left="45" w:right="45"/>
                  </w:pPr>
                  <w:r>
                    <w:rPr>
                      <w:sz w:val="20"/>
                      <w:b w:val="on"/>
                      <w:color w:val="64666B"/>
                    </w:rPr>
                    <w:t>Packages</w:t>
                  </w:r>
                </w:p>
              </w:tc>
              <w:tc>
                <w:tcPr>
                  <w:tcW w:w="560" w:type="dxa"/>
                  <w:shd w:color="auto" w:val="clear" w:fill=""/>
                </w:tcPr>
                <w:p>
                  <w:pPr>
                    <w:spacing w:before="25" w:after="25"/>
                    <w:ind w:left="45" w:right="45"/>
                    <w:jc w:val="end"/>
                  </w:pPr>
                  <w:r>
                    <w:rPr>
                      <w:sz w:val="20"/>
                      <w:b w:val="on"/>
                      <w:color w:val="64666B"/>
                    </w:rPr>
                    <w:t/>
                  </w:r>
                </w:p>
              </w:tc>
            </w:tr>
            <w:tr>
              <w:trPr>
                <w:trHeight w:hRule="auto"/>
              </w:trPr>
              <w:tc>
                <w:tcPr>
                  <w:tcW w:w="1440" w:type="dxa"/>
                  <w:shd w:color="auto" w:val="clear" w:fill="F1F1F2"/>
                </w:tcPr>
                <w:p>
                  <w:pPr>
                    <w:spacing w:before="25" w:after="25"/>
                    <w:ind w:left="45" w:right="45"/>
                  </w:pPr>
                  <w:r>
                    <w:rPr>
                      <w:sz w:val="20"/>
                      <w:b w:val="off"/>
                      <w:color w:val="64666B"/>
                    </w:rPr>
                    <w:t>Park Assist Package</w:t>
                  </w:r>
                </w:p>
              </w:tc>
              <w:tc>
                <w:tcPr>
                  <w:tcW w:w="560" w:type="dxa"/>
                  <w:shd w:color="auto" w:val="clear" w:fill="F1F1F2"/>
                </w:tcPr>
                <w:p>
                  <w:pPr>
                    <w:spacing w:before="25" w:after="25"/>
                    <w:ind w:left="45" w:right="45"/>
                    <w:jc w:val="end"/>
                  </w:pPr>
                  <w:r>
                    <w:rPr>
                      <w:sz w:val="20"/>
                      <w:b w:val="off"/>
                      <w:color w:val="64666B"/>
                    </w:rPr>
                    <w:t>797 €</w:t>
                  </w:r>
                </w:p>
              </w:tc>
            </w:tr>
            <w:tr>
              <w:trPr>
                <w:trHeight w:hRule="auto"/>
              </w:trPr>
              <w:tc>
                <w:tcPr>
                  <w:tcW w:w="1440" w:type="dxa"/>
                  <w:shd w:color="auto" w:val="clear" w:fill="FFFFFF"/>
                </w:tcPr>
                <w:p>
                  <w:pPr>
                    <w:spacing w:before="25" w:after="25"/>
                    <w:ind w:left="45" w:right="45"/>
                  </w:pPr>
                  <w:r>
                    <w:rPr>
                      <w:sz w:val="20"/>
                      <w:b w:val="off"/>
                      <w:color w:val="64666B"/>
                    </w:rPr>
                    <w:t>Voltage Package </w:t>
                  </w:r>
                </w:p>
              </w:tc>
              <w:tc>
                <w:tcPr>
                  <w:tcW w:w="560" w:type="dxa"/>
                  <w:shd w:color="auto" w:val="clear" w:fill="FFFFFF"/>
                </w:tcPr>
                <w:p>
                  <w:pPr>
                    <w:spacing w:before="25" w:after="25"/>
                    <w:ind w:left="45" w:right="45"/>
                    <w:jc w:val="end"/>
                  </w:pPr>
                  <w:r>
                    <w:rPr>
                      <w:sz w:val="20"/>
                      <w:b w:val="off"/>
                      <w:color w:val="64666B"/>
                    </w:rPr>
                    <w:t>661 €</w:t>
                  </w:r>
                </w:p>
              </w:tc>
            </w:tr>
            <w:tr>
              <w:trPr>
                <w:trHeight w:hRule="auto"/>
              </w:trPr>
              <w:tc>
                <w:tcPr>
                  <w:tcW w:w="1440" w:type="dxa"/>
                  <w:shd w:color="auto" w:val="clear" w:fill=""/>
                </w:tcPr>
                <w:p>
                  <w:pPr>
                    <w:spacing w:before="25" w:after="25"/>
                    <w:ind w:left="45" w:right="45"/>
                  </w:pPr>
                  <w:r>
                    <w:rPr>
                      <w:sz w:val="20"/>
                      <w:b w:val="on"/>
                      <w:color w:val="64666B"/>
                    </w:rPr>
                    <w:t>Awning / Awning Accessories</w:t>
                  </w:r>
                </w:p>
              </w:tc>
              <w:tc>
                <w:tcPr>
                  <w:tcW w:w="560" w:type="dxa"/>
                  <w:shd w:color="auto" w:val="clear" w:fill=""/>
                </w:tcPr>
                <w:p>
                  <w:pPr>
                    <w:spacing w:before="25" w:after="25"/>
                    <w:ind w:left="45" w:right="45"/>
                    <w:jc w:val="end"/>
                  </w:pPr>
                  <w:r>
                    <w:rPr>
                      <w:sz w:val="20"/>
                      <w:b w:val="on"/>
                      <w:color w:val="64666B"/>
                    </w:rPr>
                    <w:t/>
                  </w:r>
                </w:p>
              </w:tc>
            </w:tr>
            <w:tr>
              <w:trPr>
                <w:trHeight w:hRule="auto"/>
              </w:trPr>
              <w:tc>
                <w:tcPr>
                  <w:tcW w:w="1440" w:type="dxa"/>
                  <w:shd w:color="auto" w:val="clear" w:fill="F1F1F2"/>
                </w:tcPr>
                <w:p>
                  <w:pPr>
                    <w:spacing w:before="25" w:after="25"/>
                    <w:ind w:left="45" w:right="45"/>
                  </w:pPr>
                  <w:r>
                    <w:rPr>
                      <w:sz w:val="20"/>
                      <w:b w:val="off"/>
                      <w:color w:val="64666B"/>
                    </w:rPr>
                    <w:t>Awning 350 x 250 cm, anthracite</w:t>
                  </w:r>
                </w:p>
              </w:tc>
              <w:tc>
                <w:tcPr>
                  <w:tcW w:w="560" w:type="dxa"/>
                  <w:shd w:color="auto" w:val="clear" w:fill="F1F1F2"/>
                </w:tcPr>
                <w:p>
                  <w:pPr>
                    <w:spacing w:before="25" w:after="25"/>
                    <w:ind w:left="45" w:right="45"/>
                    <w:jc w:val="end"/>
                  </w:pPr>
                  <w:r>
                    <w:rPr>
                      <w:sz w:val="20"/>
                      <w:b w:val="off"/>
                      <w:color w:val="64666B"/>
                    </w:rPr>
                    <w:t>1.284 €</w:t>
                  </w:r>
                </w:p>
              </w:tc>
            </w:tr>
          </w:tbl>
          <w:p/>
        </w:tc>
      </w:tr>
    </w:tbl>
    <w:p>
      <w:pPr>
        <w:spacing w:before="80" w:beforeLines="0" w:after="0" w:afterLines="0"/>
      </w:pPr>
      <w:r>
        <w:rPr>
          <w:sz w:val="0"/>
        </w:rPr>
        <w:t>​</w:t>
      </w:r>
    </w:p>
    <w:p>
      <w:pPr>
        <w:spacing w:before="80" w:beforeLines="0" w:after="0" w:afterLines="0"/>
      </w:pPr>
      <w:r>
        <w:rPr>
          <w:sz w:val="0"/>
        </w:rPr>
        <w:t>​</w:t>
      </w:r>
    </w:p>
    <w:p>
      <w:pPr>
        <w:spacing w:before="80" w:beforeLines="0" w:after="0" w:afterLines="0"/>
      </w:pPr>
      <w:r>
        <w:rPr>
          <w:sz w:val="0"/>
        </w:rPr>
        <w:t>​</w:t>
      </w:r>
    </w:p>
    <w:sectPr>
      <w:footerReference w:type="first" r:id="rId10"/>
      <w:pgSz w:orient="portrait" w:w="11900" w:h="16840"/>
      <w:pgMar w:top="611" w:right="971" w:left="550" w:bottom="0" w:header="0" w:footer="0"/>
      <w:titlePg w:val="on"/>
    </w:sectPr>
  </w:body>
</w:document>
</file>

<file path=word/footer1.xml><?xml version="1.0" encoding="utf-8"?>
<w:ftr xmlns:w="http://schemas.openxmlformats.org/wordprocessingml/2006/main">
  <w:tbl>
    <w:tblPr>
      <w:tblW w:w="5000" w:type="pct"/>
    </w:tblPr>
    <w:tr>
      <w:tc>
        <w:tcPr>
          <w:tcW w:type="pct" w:w="2475"/>
          <w:hMerge w:val="restart"/>
          <w:vMerge w:val="restart"/>
          <w:shd w:color="auto" w:val="clear" w:fill="64666B"/>
        </w:tcPr>
        <w:p/>
      </w:tc>
      <w:tc>
        <w:tcPr>
          <w:hMerge w:val="continue"/>
          <w:vMerge w:val="restart"/>
        </w:tcPr>
        <w:p/>
      </w:tc>
      <w:tc>
        <w:tcPr>
          <w:tcW w:type="pct" w:w="55"/>
          <w:vMerge w:val="restart"/>
        </w:tcPr>
        <w:p/>
      </w:tc>
      <w:tc>
        <w:tcPr>
          <w:tcW w:type="pct" w:w="1730"/>
          <w:shd w:color="auto" w:val="clear" w:fill="EC671A"/>
        </w:tcPr>
        <w:p>
          <w:pPr>
            <w:spacing w:beforeLines="20" w:after="20"/>
            <w:ind w:left="60" w:right="0"/>
            <w:jc w:val="left"/>
          </w:pPr>
          <w:r>
            <w:rPr>
              <w:sz w:val="18"/>
              <w:color w:val="FFFFFF"/>
              <w:b w:val="off"/>
              <w:u w:val="none"/>
            </w:rPr>
            <w:t>Base price base vehicle</w:t>
          </w:r>
        </w:p>
      </w:tc>
      <w:tc>
        <w:tcPr>
          <w:tcW w:type="pct" w:w="740"/>
          <w:shd w:color="auto" w:val="clear" w:fill="EC671A"/>
        </w:tcPr>
        <w:p>
          <w:pPr>
            <w:spacing w:beforeLines="20" w:after="20"/>
            <w:ind w:left="0" w:right="60"/>
            <w:jc w:val="end"/>
          </w:pPr>
          <w:r>
            <w:rPr>
              <w:sz w:val="18"/>
              <w:color w:val="FFFFFF"/>
              <w:b w:val="off"/>
              <w:u w:val="none"/>
            </w:rPr>
            <w:t>59.132 €</w:t>
          </w:r>
        </w:p>
      </w:tc>
    </w:tr>
    <w:tr>
      <w:tc>
        <w:tcPr>
          <w:hMerge w:val="restart"/>
          <w:vMerge w:val="continue"/>
        </w:tcPr>
        <w:p/>
      </w:tc>
      <w:tc>
        <w:tcPr>
          <w:hMerge w:val="continue"/>
          <w:vMerge w:val="continue"/>
        </w:tcPr>
        <w:p/>
      </w:tc>
      <w:tc>
        <w:tcPr>
          <w:vMerge w:val="continue"/>
        </w:tcPr>
        <w:p/>
      </w:tc>
      <w:tc>
        <w:tcPr>
          <w:tcW w:type="pct" w:w="1730"/>
          <w:shd w:color="auto" w:val="clear" w:fill="EC671A"/>
        </w:tcPr>
        <w:p>
          <w:pPr>
            <w:spacing w:beforeLines="20" w:after="20"/>
            <w:ind w:left="60" w:right="0"/>
            <w:jc w:val="left"/>
          </w:pPr>
          <w:r>
            <w:rPr>
              <w:sz w:val="18"/>
              <w:color w:val="FFFFFF"/>
              <w:b w:val="off"/>
              <w:u w:val="none"/>
            </w:rPr>
            <w:t>Special equipment</w:t>
          </w:r>
        </w:p>
      </w:tc>
      <w:tc>
        <w:tcPr>
          <w:tcW w:type="pct" w:w="740"/>
          <w:shd w:color="auto" w:val="clear" w:fill="EC671A"/>
        </w:tcPr>
        <w:p>
          <w:pPr>
            <w:spacing w:beforeLines="20" w:after="40"/>
            <w:ind w:left="0" w:right="60"/>
            <w:jc w:val="end"/>
          </w:pPr>
          <w:r>
            <w:rPr>
              <w:sz w:val="18"/>
              <w:color w:val="FFFFFF"/>
              <w:b w:val="off"/>
              <w:u w:val="none"/>
            </w:rPr>
            <w:t>9.483 €</w:t>
          </w:r>
        </w:p>
      </w:tc>
    </w:tr>
    <w:tr>
      <w:tc>
        <w:tcPr>
          <w:tcW w:type="pct" w:w="1730"/>
          <w:shd w:color="auto" w:val="clear" w:fill="64666B"/>
          <w:vAlign w:val="center"/>
        </w:tcPr>
        <w:p>
          <w:pPr>
            <w:spacing w:beforeLines="20" w:after="60"/>
            <w:ind w:left="60" w:right="0"/>
            <w:jc w:val="left"/>
          </w:pPr>
          <w:r>
            <w:rPr>
              <w:sz w:val="28"/>
              <w:color w:val="FFFFFF"/>
              <w:b w:val="on"/>
              <w:u w:val="none"/>
            </w:rPr>
            <w:t>Base price base vehicle</w:t>
          </w:r>
        </w:p>
      </w:tc>
      <w:tc>
        <w:tcPr>
          <w:tcW w:type="pct" w:w="740"/>
          <w:shd w:color="auto" w:val="clear" w:fill="64666B"/>
          <w:vAlign w:val="center"/>
        </w:tcPr>
        <w:p>
          <w:pPr>
            <w:spacing w:beforeLines="20" w:after="60"/>
            <w:ind w:left="0" w:right="60"/>
            <w:jc w:val="end"/>
          </w:pPr>
          <w:r>
            <w:rPr>
              <w:sz w:val="28"/>
              <w:color w:val="FFFFFF"/>
              <w:b w:val="on"/>
              <w:u w:val="none"/>
            </w:rPr>
            <w:t>59.132 €</w:t>
          </w:r>
        </w:p>
      </w:tc>
      <w:tc>
        <w:tcPr>
          <w:vMerge w:val="continue"/>
        </w:tcPr>
        <w:p/>
      </w:tc>
      <w:tc>
        <w:tcPr>
          <w:tcW w:type="pct" w:w="1730"/>
          <w:tcBorders>
            <w:top w:val="single" w:sz="15" w:color="FFFFFF"/>
          </w:tcBorders>
          <w:shd w:color="auto" w:val="clear" w:fill="EC671A"/>
          <w:vAlign w:val="center"/>
        </w:tcPr>
        <w:p>
          <w:pPr>
            <w:spacing w:beforeLines="0" w:after="60"/>
            <w:ind w:left="60" w:right="0"/>
            <w:jc w:val="left"/>
          </w:pPr>
          <w:r>
            <w:rPr>
              <w:sz w:val="28"/>
              <w:color w:val="FFFFFF"/>
              <w:b w:val="on"/>
              <w:u w:val="none"/>
            </w:rPr>
            <w:t>Exhibition vehicle</w:t>
          </w:r>
        </w:p>
      </w:tc>
      <w:tc>
        <w:tcPr>
          <w:tcW w:type="pct" w:w="740"/>
          <w:tcBorders>
            <w:top w:val="single" w:sz="15" w:color="FFFFFF"/>
          </w:tcBorders>
          <w:shd w:color="auto" w:val="clear" w:fill="EC671A"/>
          <w:vAlign w:val="center"/>
        </w:tcPr>
        <w:p>
          <w:pPr>
            <w:spacing w:beforeLines="0" w:after="60"/>
            <w:ind w:left="0" w:right="60"/>
            <w:jc w:val="end"/>
          </w:pPr>
          <w:r>
            <w:rPr>
              <w:sz w:val="28"/>
              <w:color w:val="FFFFFF"/>
              <w:b w:val="on"/>
              <w:u w:val="none"/>
            </w:rPr>
            <w:t>68.615 €</w:t>
          </w:r>
        </w:p>
      </w:tc>
    </w:tr>
    <w:tr>
      <w:tc>
        <w:tcPr>
          <w:tcW w:type="pct" w:w="2475"/>
          <w:hMerge w:val="restart"/>
          <w:vAlign w:val="bottom"/>
        </w:tcPr>
        <w:p>
          <w:pPr>
            <w:spacing w:beforeLines="10" w:after="10"/>
            <w:ind w:left="60" w:right="0"/>
            <w:jc w:val="left"/>
          </w:pPr>
          <w:r>
            <w:rPr>
              <w:sz w:val="16"/>
              <w:color w:val="64666B"/>
              <w:b w:val="off"/>
              <w:u w:val="none"/>
            </w:rPr>
            <w:t>Visit WEINSBERG here:</w:t>
          </w:r>
        </w:p>
      </w:tc>
      <w:tc>
        <w:tcPr>
          <w:hMerge w:val="continue"/>
        </w:tcPr>
        <w:p/>
      </w:tc>
      <w:tc>
        <w:tcPr>
          <w:vMerge w:val="continue"/>
        </w:tcPr>
        <w:p/>
      </w:tc>
      <w:tc>
        <w:tcPr>
          <w:tcW w:type="pct" w:w="2475"/>
          <w:hMerge w:val="restart"/>
        </w:tcPr>
        <w:p>
          <w:pPr>
            <w:spacing w:beforeLines="10" w:after="10"/>
            <w:ind w:left="0" w:right="60"/>
            <w:jc w:val="end"/>
          </w:pPr>
          <w:r>
            <w:rPr>
              <w:sz w:val="16"/>
              <w:color w:val="64666B"/>
              <w:b w:val="off"/>
              <w:u w:val="none"/>
            </w:rPr>
            <w:t>incl. 20% sales tax.</w:t>
          </w:r>
        </w:p>
      </w:tc>
      <w:tc>
        <w:tcPr>
          <w:hMerge w:val="continue"/>
        </w:tcPr>
        <w:p/>
      </w:tc>
    </w:tr>
    <w:tr>
      <w:tc>
        <w:tcPr>
          <w:tcW w:type="pct" w:w="2475"/>
          <w:hMerge w:val="restart"/>
        </w:tcPr>
        <w:p>
          <w:pPr>
            <w:spacing w:beforeLines="10" w:after="400"/>
            <w:ind w:left="60" w:right="0"/>
            <w:jc w:val="left"/>
          </w:pPr>
          <w:r>
            <w:rPr>
              <w:sz w:val="16"/>
              <w:color w:val="64666B"/>
              <w:b w:val="on"/>
              <w:u w:val="none"/>
            </w:rPr>
            <w:t>https://weinsberg.com/en-uk</w:t>
          </w:r>
        </w:p>
      </w:tc>
      <w:tc>
        <w:tcPr>
          <w:hMerge w:val="continue"/>
        </w:tcPr>
        <w:p/>
      </w:tc>
      <w:tc>
        <w:tcPr>
          <w:vMerge w:val="continue"/>
        </w:tcPr>
        <w:p/>
      </w:tc>
      <w:tc>
        <w:tcPr>
          <w:tcW w:type="pct" w:w="2475"/>
          <w:hMerge w:val="restart"/>
        </w:tcPr>
        <w:p>
          <w:pPr>
            <w:spacing w:beforeLines="10" w:after="400"/>
            <w:ind w:left="0" w:right="60"/>
            <w:jc w:val="end"/>
          </w:pPr>
          <w:r>
            <w:rPr>
              <w:sz w:val="16"/>
              <w:color w:val="64666B"/>
              <w:b w:val="off"/>
              <w:u w:val="none"/>
            </w:rPr>
            <w:t>Changes and errors excepted.</w:t>
          </w:r>
        </w:p>
      </w:tc>
      <w:tc>
        <w:tcPr>
          <w:hMerge w:val="continue"/>
        </w:tcPr>
        <w:p/>
      </w:tc>
    </w:tr>
  </w:tbl>
</w:ftr>
</file>

<file path=word/settings.xml><?xml version="1.0" encoding="utf-8"?>
<w:settings xmlns:w="http://schemas.openxmlformats.org/wordprocessingml/2006/main"/>
</file>

<file path=word/styles.xml><?xml version="1.0" encoding="utf-8"?>
<w:styles xmlns:w="http://schemas.openxmlformats.org/wordprocessingml/2006/main">
  <w:docDefaults>
    <w:rPrDefault>
      <w:rPr>
        <w:rFonts w:ascii="Arial" w:eastAsia="Arial" w:hAnsi="Arial"/>
      </w:rPr>
    </w:rPrDefault>
    <w:pPrDefault>
      <w:pPr/>
    </w:pPrDefault>
  </w:docDefaults>
</w:styles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10" Target="footer1.xml" Type="http://schemas.openxmlformats.org/officeDocument/2006/relationships/footer"/><Relationship Id="rId2" Target="styles.xml" Type="http://schemas.openxmlformats.org/officeDocument/2006/relationships/styles"/><Relationship Id="rId3" Target="media/image1.png" Type="http://schemas.openxmlformats.org/officeDocument/2006/relationships/image"/><Relationship Id="rId4" Target="media/image2.png" Type="http://schemas.openxmlformats.org/officeDocument/2006/relationships/image"/><Relationship Id="rId5" Target="media/image3.png" Type="http://schemas.openxmlformats.org/officeDocument/2006/relationships/image"/><Relationship Id="rId6" Target="media/image4.png" Type="http://schemas.openxmlformats.org/officeDocument/2006/relationships/image"/><Relationship Id="rId7" Target="media/image5.png" Type="http://schemas.openxmlformats.org/officeDocument/2006/relationships/image"/><Relationship Id="rId8" Target="media/image6.png" Type="http://schemas.openxmlformats.org/officeDocument/2006/relationships/image"/><Relationship Id="rId9" Target="media/image7.png" Type="http://schemas.openxmlformats.org/officeDocument/2006/relationships/image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2023-03-31T15:08:51Z</dcterms:created>
  <dc:creator>Apache POI</dc:creator>
</cp:coreProperties>
</file>