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xsi="http://www.w3.org/2001/XMLSchema-instance">
  <w:body>
    <w:p>
      <w:pPr>
        <w:spacing w:before="0" w:beforeLines="0" w:after="0" w:afterLines="0"/>
      </w:pPr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16D108A6" wp14:editId="351B37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1" name="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color w:val="EC671A"/>
          <w:b w:val="off"/>
          <w:u w:val="none"/>
        </w:rPr>
        <w:t>CaraTour FORD 600 MQ (2023)</w:t>
      </w:r>
    </w:p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</w:tblPr>
      <w:tr>
        <w:tc>
          <w:tcPr>
            <w:tcW w:type="pct" w:w="1600"/>
            <w:vMerge w:val="restart"/>
            <w:vAlign w:val="center"/>
          </w:tcPr>
          <w:p>
            <w:pPr>
              <w:spacing w:before="0" w:after="0"/>
              <w:jc w:val="left"/>
            </w:pPr>
            <w:r>
              <w:drawing>
                <wp:inline distT="0" distR="0" distB="0" distL="0">
                  <wp:extent cx="2268000" cy="925344"/>
                  <wp:docPr id="0" name="Drawing 0" descr="24017b7f83c897e3179a3fc4ea542d5369fced94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4017b7f83c897e3179a3fc4ea542d5369fced94.png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92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50"/>
            <w:vMerge w:val="restart"/>
          </w:tcPr>
          <w:p/>
        </w:tc>
        <w:tc>
          <w:tcPr>
            <w:tcW w:type="pct" w:w="100"/>
            <w:vMerge w:val="restart"/>
          </w:tcPr>
          <w:p>
            <w:pPr>
              <w:spacing w:beforeLines="0" w:after="0"/>
              <w:ind w:left="0" w:right="0"/>
              <w:jc w:val="left"/>
            </w:pPr>
            <w:r>
              <w:rPr>
                <w:sz w:val="24"/>
                <w:color w:val="000000"/>
                <w:b w:val="off"/>
                <w:u w:val="none"/>
              </w:rPr>
              <w:t xml:space="preserve"> </w:t>
            </w:r>
          </w:p>
        </w:tc>
        <w:tc>
          <w:tcPr>
            <w:tcW w:type="pct" w:w="1900"/>
            <w:hMerge w:val="restart"/>
            <w:shd w:color="auto" w:val="clear" w:fill="64666B"/>
          </w:tcPr>
          <w:p>
            <w:pPr>
              <w:spacing w:beforeLines="80" w:after="25"/>
              <w:ind w:left="150" w:right="0"/>
              <w:jc w:val="left"/>
            </w:pPr>
            <w:r>
              <w:rPr>
                <w:sz w:val="20"/>
                <w:color w:val="FFFFFF"/>
                <w:b w:val="off"/>
                <w:u w:val="none"/>
              </w:rPr>
              <w:t>VEHICLE</w:t>
            </w:r>
          </w:p>
        </w:tc>
        <w:tc>
          <w:tcPr>
            <w:hMerge w:val="continue"/>
          </w:tcPr>
          <w:p/>
        </w:tc>
        <w:tc>
          <w:tcPr>
            <w:tcW w:type="pct" w:w="900"/>
            <w:vMerge w:val="restart"/>
            <w:shd w:color="auto" w:val="clear" w:fill="64666B"/>
            <w:vAlign w:val="center"/>
          </w:tcPr>
          <w:p>
            <w:pPr>
              <w:spacing w:before="0" w:beforeLines="0" w:after="0" w:afterLines="0"/>
              <w:jc w:val="center"/>
            </w:pPr>
            <w:r>
              <w:drawing>
                <wp:inline distT="0" distR="0" distB="0" distL="0">
                  <wp:extent cx="960120" cy="960120"/>
                  <wp:docPr id="1" name="Drawing 1" descr="generatedQrCode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QrCode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Chassis</w:t>
            </w:r>
          </w:p>
        </w:tc>
        <w:tc>
          <w:tcPr>
            <w:tcW w:type="pct" w:w="9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Motor</w:t>
            </w:r>
          </w:p>
        </w:tc>
        <w:tc>
          <w:tcPr>
            <w:tcW w:type="pct" w:w="9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Gearbox</w:t>
            </w:r>
          </w:p>
        </w:tc>
        <w:tc>
          <w:tcPr>
            <w:tcW w:type="pct" w:w="9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autom.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/>
        </w:tc>
        <w:tc>
          <w:tcPr>
            <w:tcW w:type="pct" w:w="900"/>
            <w:shd w:color="auto" w:val="clear" w:fill="64666B"/>
          </w:tcPr>
          <w:p/>
        </w:tc>
        <w:tc>
          <w:tcPr>
            <w:vMerge w:val="continue"/>
          </w:tcPr>
          <w:p/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</w:tblPr>
      <w:tr>
        <w:tc>
          <w:tcPr>
            <w:tcW w:type="dxa" w:w="2649"/>
          </w:tcPr>
          <w:p>
            <w:pPr>
              <w:spacing w:before="0" w:beforeLines="0" w:after="0" w:afterLines="0"/>
              <w:jc w:val="left"/>
              <w:textAlignment w:val="center"/>
            </w:pPr>
            <w:r>
              <w:drawing>
                <wp:inline distT="0" distR="0" distB="0" distL="0">
                  <wp:extent cx="302400" cy="302400"/>
                  <wp:docPr id="2" name="Drawing 2" descr="weinsberg-schlafplaetz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insberg-schlafplaetze.png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3 Sleeping places</w:t>
            </w:r>
          </w:p>
        </w:tc>
        <w:tc>
          <w:tcPr>
            <w:tcW w:type="dxa" w:w="2888"/>
          </w:tcPr>
          <w:p>
            <w:pPr>
              <w:spacing w:before="0" w:beforeLines="0" w:after="0" w:afterLines="0"/>
              <w:jc w:val="center"/>
              <w:textAlignment w:val="center"/>
            </w:pPr>
            <w:r>
              <w:drawing>
                <wp:inline distT="0" distR="0" distB="0" distL="0">
                  <wp:extent cx="302400" cy="302400"/>
                  <wp:docPr id="3" name="Drawing 3" descr="weinsberg-gurtplaetz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insberg-gurtplaetze.png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4 belt-secured seats</w:t>
            </w:r>
          </w:p>
        </w:tc>
        <w:tc>
          <w:tcPr>
            <w:tcW w:type="dxa" w:w="2410"/>
          </w:tcPr>
          <w:p>
            <w:pPr>
              <w:spacing w:before="0" w:beforeLines="0" w:after="0" w:afterLines="0"/>
              <w:jc w:val="center"/>
              <w:textAlignment w:val="center"/>
            </w:pPr>
            <w:r>
              <w:drawing>
                <wp:inline distT="0" distR="0" distB="0" distL="0">
                  <wp:extent cx="302400" cy="302400"/>
                  <wp:docPr id="4" name="Drawing 4" descr="weinsberg-breit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einsberg-breite.png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under 6 meters</w:t>
            </w:r>
          </w:p>
        </w:tc>
        <w:tc>
          <w:tcPr>
            <w:tcW w:type="dxa" w:w="2410"/>
          </w:tcPr>
          <w:p>
            <w:pPr>
              <w:spacing w:before="0" w:beforeLines="0" w:after="0" w:afterLines="0"/>
              <w:jc w:val="right"/>
              <w:textAlignment w:val="center"/>
            </w:pPr>
            <w:r>
              <w:drawing>
                <wp:inline distT="0" distR="0" distB="0" distL="0">
                  <wp:extent cx="302400" cy="302400"/>
                  <wp:docPr id="5" name="Drawing 5" descr="weinsberg-gewicht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insberg-gewicht.png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under 3.500 kg</w:t>
            </w:r>
          </w:p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  <w:tblLayout w:type="fixed"/>
        <w:tblCellMar/>
      </w:tblPr>
      <w:tr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left"/>
            </w:pPr>
            <w:r>
              <w:rPr>
                <w:sz w:val="24"/>
                <w:b w:val="on"/>
                <w:color w:val="FFFFFF"/>
              </w:rPr>
              <w:t>Technical Data</w:t>
            </w:r>
          </w:p>
        </w:tc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right"/>
            </w:pPr>
            <w:r>
              <w:rPr>
                <w:sz w:val="24"/>
                <w:b w:val="on"/>
                <w:color w:val="FFFFFF"/>
              </w:rPr>
              <w:t xsi:nil="true"/>
            </w:r>
          </w:p>
        </w:tc>
      </w:tr>
    </w:tbl>
    <w:tbl>
      <w:tblPr>
        <w:tblW w:w="0" w:type="auto"/>
      </w:tblPr>
      <w:tr>
        <w:tc>
          <w:tcPr>
            <w:tcW w:type="pct" w:w="2500"/>
          </w:tcPr>
          <w:tbl>
            <w:tblPr>
              <w:tblW w:w="4950" w:type="pct"/>
              <w:jc w:val="start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Dimensions: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Width outside/inside (cm)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206 / 187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Height outside/inside (cm)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274 / 205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Bed size, seating group (spare bed) (cm)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156 x 70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Bed size, rear (cm)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193 x 147/138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Bed size, guest bed optional (cm)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164 x 100/62</w:t>
                  </w:r>
                </w:p>
              </w:tc>
            </w:tr>
          </w:tbl>
          <w:p/>
        </w:tc>
        <w:tc>
          <w:tcPr>
            <w:tcW w:type="pct" w:w="2500"/>
          </w:tcPr>
          <w:tbl>
            <w:tblPr>
              <w:tblW w:w="4950" w:type="pct"/>
              <w:jc w:val="end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Weight: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Tech. max. auth. laden mass (kg)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3.500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Mass in running order (kg)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2.855 (2.712 - 2.997)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Remaining mass of the optional equipment (kg)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243</w:t>
                  </w:r>
                </w:p>
              </w:tc>
            </w:tr>
          </w:tbl>
          <w:p/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  <w:tblLayout w:type="fixed"/>
        <w:tblCellMar/>
      </w:tblPr>
      <w:tr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left"/>
            </w:pPr>
            <w:r>
              <w:rPr>
                <w:sz w:val="24"/>
                <w:b w:val="on"/>
                <w:color w:val="FFFFFF"/>
              </w:rPr>
              <w:t>Special equipment</w:t>
            </w:r>
          </w:p>
        </w:tc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right"/>
            </w:pPr>
            <w:r>
              <w:rPr>
                <w:sz w:val="24"/>
                <w:b w:val="on"/>
                <w:color w:val="FFFFFF"/>
              </w:rPr>
              <w:t>9.483 €</w:t>
            </w:r>
          </w:p>
        </w:tc>
      </w:tr>
    </w:tbl>
    <w:tbl>
      <w:tblPr>
        <w:tblW w:w="0" w:type="auto"/>
      </w:tblPr>
      <w:tr>
        <w:tc>
          <w:tcPr>
            <w:tcW w:type="pct" w:w="2500"/>
          </w:tcPr>
          <w:tbl>
            <w:tblPr>
              <w:tblW w:w="4950" w:type="pct"/>
              <w:jc w:val="start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Motorisation / Drive / Gearing / Load increase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FORD TRANSIT 3.500 kg***; L3 FWD 2.0 l EcoBlue Light Duty; 170 HP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1.503 €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6-speed automatic transmission</w:t>
                  </w:r>
                </w:p>
              </w:tc>
              <w:tc>
                <w:tcPr>
                  <w:tcW w:w="5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2.279 €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Chassis / Climate Control / Multimedia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Chassis in metallic paint: Magnetic-Grey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1.236 €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FORD Light alloy rims for standard tyres</w:t>
                  </w:r>
                </w:p>
              </w:tc>
              <w:tc>
                <w:tcPr>
                  <w:tcW w:w="5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1.603 €</w:t>
                  </w:r>
                </w:p>
              </w:tc>
            </w:tr>
          </w:tbl>
          <w:p/>
        </w:tc>
        <w:tc>
          <w:tcPr>
            <w:tcW w:type="pct" w:w="2500"/>
          </w:tcPr>
          <w:tbl>
            <w:tblPr>
              <w:tblW w:w="4950" w:type="pct"/>
              <w:jc w:val="end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TPMS Tyre Pressure Monitoring System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120 €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Packages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Park Assist Package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797 €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Voltage Package </w:t>
                  </w:r>
                </w:p>
              </w:tc>
              <w:tc>
                <w:tcPr>
                  <w:tcW w:w="5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661 €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Awning / Awning Accessories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Awning 350 x 250 cm, anthracite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1.284 €</w:t>
                  </w:r>
                </w:p>
              </w:tc>
            </w:tr>
          </w:tbl>
          <w:p/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p>
      <w:pPr>
        <w:spacing w:before="80" w:beforeLines="0" w:after="0" w:afterLines="0"/>
      </w:pPr>
      <w:r>
        <w:rPr>
          <w:sz w:val="0"/>
        </w:rPr>
        <w:t>​</w:t>
      </w:r>
    </w:p>
    <w:p>
      <w:pPr>
        <w:spacing w:before="80" w:beforeLines="0" w:after="0" w:afterLines="0"/>
      </w:pPr>
      <w:r>
        <w:rPr>
          <w:sz w:val="0"/>
        </w:rPr>
        <w:t>​</w:t>
      </w:r>
    </w:p>
    <w:sectPr>
      <w:footerReference w:type="first" r:id="rId10"/>
      <w:pgSz w:orient="portrait" w:w="11900" w:h="16840"/>
      <w:pgMar w:top="611" w:right="971" w:left="550" w:bottom="0" w:header="0" w:footer="0"/>
      <w:titlePg w:val="on"/>
    </w:sectPr>
  </w:body>
</w:document>
</file>

<file path=word/footer1.xml><?xml version="1.0" encoding="utf-8"?>
<w:ftr xmlns:w="http://schemas.openxmlformats.org/wordprocessingml/2006/main">
  <w:tbl>
    <w:tblPr>
      <w:tblW w:w="5000" w:type="pct"/>
    </w:tblPr>
    <w:tr>
      <w:tc>
        <w:tcPr>
          <w:tcW w:type="pct" w:w="2475"/>
          <w:hMerge w:val="restart"/>
          <w:vMerge w:val="restart"/>
          <w:shd w:color="auto" w:val="clear" w:fill="64666B"/>
        </w:tcPr>
        <w:p/>
      </w:tc>
      <w:tc>
        <w:tcPr>
          <w:hMerge w:val="continue"/>
          <w:vMerge w:val="restart"/>
        </w:tcPr>
        <w:p/>
      </w:tc>
      <w:tc>
        <w:tcPr>
          <w:tcW w:type="pct" w:w="55"/>
          <w:vMerge w:val="restart"/>
        </w:tcPr>
        <w:p/>
      </w:tc>
      <w:tc>
        <w:tcPr>
          <w:tcW w:type="pct" w:w="1730"/>
          <w:shd w:color="auto" w:val="clear" w:fill="EC671A"/>
        </w:tcPr>
        <w:p>
          <w:pPr>
            <w:spacing w:beforeLines="20" w:after="20"/>
            <w:ind w:left="60" w:right="0"/>
            <w:jc w:val="left"/>
          </w:pPr>
          <w:r>
            <w:rPr>
              <w:sz w:val="18"/>
              <w:color w:val="FFFFFF"/>
              <w:b w:val="off"/>
              <w:u w:val="none"/>
            </w:rPr>
            <w:t>Base price base vehicle</w:t>
          </w:r>
        </w:p>
      </w:tc>
      <w:tc>
        <w:tcPr>
          <w:tcW w:type="pct" w:w="740"/>
          <w:shd w:color="auto" w:val="clear" w:fill="EC671A"/>
        </w:tcPr>
        <w:p>
          <w:pPr>
            <w:spacing w:beforeLines="20" w:after="20"/>
            <w:ind w:left="0" w:right="60"/>
            <w:jc w:val="end"/>
          </w:pPr>
          <w:r>
            <w:rPr>
              <w:sz w:val="18"/>
              <w:color w:val="FFFFFF"/>
              <w:b w:val="off"/>
              <w:u w:val="none"/>
            </w:rPr>
            <w:t>59.132 €</w:t>
          </w:r>
        </w:p>
      </w:tc>
    </w:tr>
    <w:tr>
      <w:tc>
        <w:tcPr>
          <w:hMerge w:val="restart"/>
          <w:vMerge w:val="continue"/>
        </w:tcPr>
        <w:p/>
      </w:tc>
      <w:tc>
        <w:tcPr>
          <w:hMerge w:val="continue"/>
          <w:vMerge w:val="continue"/>
        </w:tcPr>
        <w:p/>
      </w:tc>
      <w:tc>
        <w:tcPr>
          <w:vMerge w:val="continue"/>
        </w:tcPr>
        <w:p/>
      </w:tc>
      <w:tc>
        <w:tcPr>
          <w:tcW w:type="pct" w:w="1730"/>
          <w:shd w:color="auto" w:val="clear" w:fill="EC671A"/>
        </w:tcPr>
        <w:p>
          <w:pPr>
            <w:spacing w:beforeLines="20" w:after="20"/>
            <w:ind w:left="60" w:right="0"/>
            <w:jc w:val="left"/>
          </w:pPr>
          <w:r>
            <w:rPr>
              <w:sz w:val="18"/>
              <w:color w:val="FFFFFF"/>
              <w:b w:val="off"/>
              <w:u w:val="none"/>
            </w:rPr>
            <w:t>Special equipment</w:t>
          </w:r>
        </w:p>
      </w:tc>
      <w:tc>
        <w:tcPr>
          <w:tcW w:type="pct" w:w="740"/>
          <w:shd w:color="auto" w:val="clear" w:fill="EC671A"/>
        </w:tcPr>
        <w:p>
          <w:pPr>
            <w:spacing w:beforeLines="20" w:after="40"/>
            <w:ind w:left="0" w:right="60"/>
            <w:jc w:val="end"/>
          </w:pPr>
          <w:r>
            <w:rPr>
              <w:sz w:val="18"/>
              <w:color w:val="FFFFFF"/>
              <w:b w:val="off"/>
              <w:u w:val="none"/>
            </w:rPr>
            <w:t>9.483 €</w:t>
          </w:r>
        </w:p>
      </w:tc>
    </w:tr>
    <w:tr>
      <w:tc>
        <w:tcPr>
          <w:tcW w:type="pct" w:w="1730"/>
          <w:shd w:color="auto" w:val="clear" w:fill="64666B"/>
          <w:vAlign w:val="center"/>
        </w:tcPr>
        <w:p>
          <w:pPr>
            <w:spacing w:beforeLines="20" w:after="60"/>
            <w:ind w:left="60" w:right="0"/>
            <w:jc w:val="left"/>
          </w:pPr>
          <w:r>
            <w:rPr>
              <w:sz w:val="28"/>
              <w:color w:val="FFFFFF"/>
              <w:b w:val="on"/>
              <w:u w:val="none"/>
            </w:rPr>
            <w:t>Base price base vehicle</w:t>
          </w:r>
        </w:p>
      </w:tc>
      <w:tc>
        <w:tcPr>
          <w:tcW w:type="pct" w:w="740"/>
          <w:shd w:color="auto" w:val="clear" w:fill="64666B"/>
          <w:vAlign w:val="center"/>
        </w:tcPr>
        <w:p>
          <w:pPr>
            <w:spacing w:beforeLines="20" w:after="60"/>
            <w:ind w:left="0" w:right="60"/>
            <w:jc w:val="end"/>
          </w:pPr>
          <w:r>
            <w:rPr>
              <w:sz w:val="28"/>
              <w:color w:val="FFFFFF"/>
              <w:b w:val="on"/>
              <w:u w:val="none"/>
            </w:rPr>
            <w:t>59.132 €</w:t>
          </w:r>
        </w:p>
      </w:tc>
      <w:tc>
        <w:tcPr>
          <w:vMerge w:val="continue"/>
        </w:tcPr>
        <w:p/>
      </w:tc>
      <w:tc>
        <w:tcPr>
          <w:tcW w:type="pct" w:w="1730"/>
          <w:tcBorders>
            <w:top w:val="single" w:sz="15" w:color="FFFFFF"/>
          </w:tcBorders>
          <w:shd w:color="auto" w:val="clear" w:fill="EC671A"/>
          <w:vAlign w:val="center"/>
        </w:tcPr>
        <w:p>
          <w:pPr>
            <w:spacing w:beforeLines="0" w:after="60"/>
            <w:ind w:left="60" w:right="0"/>
            <w:jc w:val="left"/>
          </w:pPr>
          <w:r>
            <w:rPr>
              <w:sz w:val="28"/>
              <w:color w:val="FFFFFF"/>
              <w:b w:val="on"/>
              <w:u w:val="none"/>
            </w:rPr>
            <w:t>Exhibition vehicle</w:t>
          </w:r>
        </w:p>
      </w:tc>
      <w:tc>
        <w:tcPr>
          <w:tcW w:type="pct" w:w="740"/>
          <w:tcBorders>
            <w:top w:val="single" w:sz="15" w:color="FFFFFF"/>
          </w:tcBorders>
          <w:shd w:color="auto" w:val="clear" w:fill="EC671A"/>
          <w:vAlign w:val="center"/>
        </w:tcPr>
        <w:p>
          <w:pPr>
            <w:spacing w:beforeLines="0" w:after="60"/>
            <w:ind w:left="0" w:right="60"/>
            <w:jc w:val="end"/>
          </w:pPr>
          <w:r>
            <w:rPr>
              <w:sz w:val="28"/>
              <w:color w:val="FFFFFF"/>
              <w:b w:val="on"/>
              <w:u w:val="none"/>
            </w:rPr>
            <w:t>68.615 €</w:t>
          </w:r>
        </w:p>
      </w:tc>
    </w:tr>
    <w:tr>
      <w:tc>
        <w:tcPr>
          <w:tcW w:type="pct" w:w="2475"/>
          <w:hMerge w:val="restart"/>
          <w:vAlign w:val="bottom"/>
        </w:tcPr>
        <w:p>
          <w:pPr>
            <w:spacing w:beforeLines="10" w:after="10"/>
            <w:ind w:left="60" w:right="0"/>
            <w:jc w:val="left"/>
          </w:pPr>
          <w:r>
            <w:rPr>
              <w:sz w:val="16"/>
              <w:color w:val="64666B"/>
              <w:b w:val="off"/>
              <w:u w:val="none"/>
            </w:rPr>
            <w:t>Visit WEINSBERG here:</w:t>
          </w:r>
        </w:p>
      </w:tc>
      <w:tc>
        <w:tcPr>
          <w:hMerge w:val="continue"/>
        </w:tcPr>
        <w:p/>
      </w:tc>
      <w:tc>
        <w:tcPr>
          <w:vMerge w:val="continue"/>
        </w:tcPr>
        <w:p/>
      </w:tc>
      <w:tc>
        <w:tcPr>
          <w:tcW w:type="pct" w:w="2475"/>
          <w:hMerge w:val="restart"/>
        </w:tcPr>
        <w:p>
          <w:pPr>
            <w:spacing w:beforeLines="10" w:after="10"/>
            <w:ind w:left="0" w:right="60"/>
            <w:jc w:val="end"/>
          </w:pPr>
          <w:r>
            <w:rPr>
              <w:sz w:val="16"/>
              <w:color w:val="64666B"/>
              <w:b w:val="off"/>
              <w:u w:val="none"/>
            </w:rPr>
            <w:t>incl. 20% sales tax.</w:t>
          </w:r>
        </w:p>
      </w:tc>
      <w:tc>
        <w:tcPr>
          <w:hMerge w:val="continue"/>
        </w:tcPr>
        <w:p/>
      </w:tc>
    </w:tr>
    <w:tr>
      <w:tc>
        <w:tcPr>
          <w:tcW w:type="pct" w:w="2475"/>
          <w:hMerge w:val="restart"/>
        </w:tcPr>
        <w:p>
          <w:pPr>
            <w:spacing w:beforeLines="10" w:after="400"/>
            <w:ind w:left="60" w:right="0"/>
            <w:jc w:val="left"/>
          </w:pPr>
          <w:r>
            <w:rPr>
              <w:sz w:val="16"/>
              <w:color w:val="64666B"/>
              <w:b w:val="on"/>
              <w:u w:val="none"/>
            </w:rPr>
            <w:t>https://weinsberg.com/en-uk</w:t>
          </w:r>
        </w:p>
      </w:tc>
      <w:tc>
        <w:tcPr>
          <w:hMerge w:val="continue"/>
        </w:tcPr>
        <w:p/>
      </w:tc>
      <w:tc>
        <w:tcPr>
          <w:vMerge w:val="continue"/>
        </w:tcPr>
        <w:p/>
      </w:tc>
      <w:tc>
        <w:tcPr>
          <w:tcW w:type="pct" w:w="2475"/>
          <w:hMerge w:val="restart"/>
        </w:tcPr>
        <w:p>
          <w:pPr>
            <w:spacing w:beforeLines="10" w:after="400"/>
            <w:ind w:left="0" w:right="60"/>
            <w:jc w:val="end"/>
          </w:pPr>
          <w:r>
            <w:rPr>
              <w:sz w:val="16"/>
              <w:color w:val="64666B"/>
              <w:b w:val="off"/>
              <w:u w:val="none"/>
            </w:rPr>
            <w:t>Changes and errors excepted.</w:t>
          </w:r>
        </w:p>
      </w:tc>
      <w:tc>
        <w:tcPr>
          <w:hMerge w:val="continue"/>
        </w:tcPr>
        <w:p/>
      </w:tc>
    </w:tr>
  </w:tbl>
</w:ft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="Arial" w:eastAsia="Arial" w:hAnsi="Arial"/>
      </w:rPr>
    </w:rPrDefault>
    <w:pPrDefault>
      <w:pPr/>
    </w:pPrDefault>
  </w:docDefaults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footer1.xml" Type="http://schemas.openxmlformats.org/officeDocument/2006/relationships/footer"/><Relationship Id="rId2" Target="styles.xml" Type="http://schemas.openxmlformats.org/officeDocument/2006/relationships/styles"/><Relationship Id="rId3" Target="media/image1.png" Type="http://schemas.openxmlformats.org/officeDocument/2006/relationships/image"/><Relationship Id="rId4" Target="media/image2.png" Type="http://schemas.openxmlformats.org/officeDocument/2006/relationships/image"/><Relationship Id="rId5" Target="media/image3.png" Type="http://schemas.openxmlformats.org/officeDocument/2006/relationships/image"/><Relationship Id="rId6" Target="media/image4.png" Type="http://schemas.openxmlformats.org/officeDocument/2006/relationships/image"/><Relationship Id="rId7" Target="media/image5.png" Type="http://schemas.openxmlformats.org/officeDocument/2006/relationships/image"/><Relationship Id="rId8" Target="media/image6.png" Type="http://schemas.openxmlformats.org/officeDocument/2006/relationships/image"/><Relationship Id="rId9" Target="media/image7.pn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2023-03-31T15:08:51Z</dcterms:created>
  <dc:creator>Apache POI</dc:creator>
</cp:coreProperties>
</file>